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Introducción.</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Los avances en las tecnologías empleadas para el diagnóstico en los Laboratorios de Biomedicina y su aplicación en los tres niveles de atención del Sistema Nacional de Salud, la política del Estado de garantizar la atención integral al individuo, la familia y la comunidad para mantener y aún más, elevar los indicadores de salud de la población cubana, condiciona la necesidad de contar con profesionales calificados con un perfil amplio de formación, capaces de desempeñarse básicamente en los tres niveles de atención del Sistema Nacional de Salud , en otras instituciones afines, así  como en el cumplimiento de misiones en  países que lo soliciten.</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 xml:space="preserve">En respuesta a esta necesidad se propone la formación de un profesional universitario propio del área de la salud, el Licenciado en Bioanálisis Clínico, con una formación básica general y especializada; capacitado científica y técnicamente para desempeñarse dentro del equipo de salud. Su  accionar estará fundamentado en la investigación científica, y en la aplicación de los principios éticos que deben regir la conducta de un profesional del campo de la salud, donde se hace indispensable una extraordinaria vocación de servicio y un alto grado de sensibilidad,  responsabilidad y ética. </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Esta propuesta se basa en las necesidades planteadas por el Ministerio de Salud Pública que requiere de la formación de un personal, de perfil amplio,  capacitado para participar en el control de las enfermedades trasmisibles y no trasmisibles, no solo desde el punto de vista del diagnóstico de laboratorio, sino, con la ejecución de acciones preventivas, terapéuticas y productivas con una sólida formación humana y científica.</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Este licenciado se incorporará a los servicios de salud ya existentes, y podrá garantizar la realización de estudios citológicos, h</w:t>
      </w:r>
      <w:r w:rsidRPr="008517C6">
        <w:rPr>
          <w:rFonts w:asciiTheme="majorHAnsi" w:hAnsiTheme="majorHAnsi" w:cs="Arial"/>
          <w:sz w:val="22"/>
          <w:szCs w:val="22"/>
          <w:lang w:val="es-MX"/>
        </w:rPr>
        <w:t>istopatológicos,  fisiológicos e inmunoalérgicos, en el nivel primario de atención, con los que no se cuenta actualmente, aumentando las posibilidades diagnósticas, terapéuticas y preventivas a ese nivel</w:t>
      </w:r>
      <w:r w:rsidRPr="008517C6">
        <w:rPr>
          <w:rFonts w:asciiTheme="majorHAnsi" w:hAnsiTheme="majorHAnsi" w:cs="Arial"/>
          <w:sz w:val="22"/>
          <w:szCs w:val="22"/>
        </w:rPr>
        <w:t xml:space="preserve">. </w:t>
      </w:r>
    </w:p>
    <w:p w:rsidR="00B76E28" w:rsidRPr="008517C6" w:rsidRDefault="00B76E28" w:rsidP="006F2551">
      <w:pPr>
        <w:spacing w:after="120"/>
        <w:jc w:val="both"/>
        <w:rPr>
          <w:rFonts w:asciiTheme="majorHAnsi" w:hAnsiTheme="majorHAnsi" w:cs="Arial"/>
          <w:b/>
          <w:sz w:val="22"/>
          <w:szCs w:val="22"/>
        </w:rPr>
      </w:pPr>
      <w:r w:rsidRPr="008517C6">
        <w:rPr>
          <w:rFonts w:asciiTheme="majorHAnsi" w:hAnsiTheme="majorHAnsi" w:cs="Arial"/>
          <w:b/>
          <w:sz w:val="22"/>
          <w:szCs w:val="22"/>
        </w:rPr>
        <w:t>Antecedentes históricos de la carrera y de la profesión.</w:t>
      </w:r>
    </w:p>
    <w:p w:rsidR="00B76E28" w:rsidRPr="008517C6" w:rsidRDefault="00B76E28" w:rsidP="008517C6">
      <w:pPr>
        <w:pStyle w:val="Sangradetextonormal"/>
        <w:spacing w:after="120"/>
        <w:jc w:val="both"/>
        <w:rPr>
          <w:rFonts w:asciiTheme="majorHAnsi" w:hAnsiTheme="majorHAnsi"/>
        </w:rPr>
      </w:pPr>
      <w:r w:rsidRPr="008517C6">
        <w:rPr>
          <w:rFonts w:asciiTheme="majorHAnsi" w:hAnsiTheme="majorHAnsi"/>
        </w:rPr>
        <w:t xml:space="preserve">En la etapa pre-revolucionaria el personal técnico que se desempeñaba en las áreas de la práctica transfusional, la microbiología, la citohistopatología  y el laboratorio clínico en la gran mayoría de los casos no poseía formación académica y recibía el entrenamiento en la propia actividad práctica, lo cual condicionaba poca cientificidad y altos riesgos para la atención adecuada al paciente. </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 xml:space="preserve">Con el triunfo revolucionario se desarrolla una política de salud consecuente con las necesidades del país y se crea en la década del 60 el Instituto de Hematología e Inmunología, formándose los Hematólogos y los primeros Inmunólogos, además se lleva la práctica bacteriológica a todo el país; estableciéndose en 1962 la especialidad de Microbiología Médica; se desarrollan los estudios virológicos por el doctor Pedro Más Lago en el Instituto Nacional de Higiene; en el año 1978 se revitaliza el Instituto de Medicina Tropical, con el nombre del profesor Pedro Kourí; los laboratorios de bacteriología y las cátedras se multiplican, se inicia la enseñanza de </w:t>
      </w:r>
      <w:smartTag w:uri="urn:schemas-microsoft-com:office:smarttags" w:element="PersonName">
        <w:smartTagPr>
          <w:attr w:name="ProductID" w:val="la Parasitolog￭a"/>
        </w:smartTagPr>
        <w:r w:rsidRPr="008517C6">
          <w:rPr>
            <w:rFonts w:asciiTheme="majorHAnsi" w:hAnsiTheme="majorHAnsi" w:cs="Arial"/>
            <w:sz w:val="22"/>
            <w:szCs w:val="22"/>
          </w:rPr>
          <w:t>la Parasitología</w:t>
        </w:r>
      </w:smartTag>
      <w:r w:rsidRPr="008517C6">
        <w:rPr>
          <w:rFonts w:asciiTheme="majorHAnsi" w:hAnsiTheme="majorHAnsi" w:cs="Arial"/>
          <w:sz w:val="22"/>
          <w:szCs w:val="22"/>
        </w:rPr>
        <w:t xml:space="preserve"> en todo el país, se fundan nuevos centros de investigaciones como el Centro Nacional de Investigaciones Científicas (CENIC), el Centro de Inmunoensayo, el Centro de Ingeniería Genética y Biotecnología, y el Instituto Finlay.</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 xml:space="preserve">Lo mismo sucede en el área de Laboratorio Clínico, formándose  los primeros especialistas de Laboratorio Clínico en esta propia década en diferentes centros (Hospitales Calixto García, Enrique Cabrera, William Soler, en la capital del país y seguidamente en la ciudad de Santiago de Cuba  y otros hospitales de </w:t>
      </w:r>
      <w:smartTag w:uri="urn:schemas-microsoft-com:office:smarttags" w:element="PersonName">
        <w:smartTagPr>
          <w:attr w:name="ProductID" w:val="la Ciudad"/>
        </w:smartTagPr>
        <w:r w:rsidRPr="008517C6">
          <w:rPr>
            <w:rFonts w:asciiTheme="majorHAnsi" w:hAnsiTheme="majorHAnsi" w:cs="Arial"/>
            <w:sz w:val="22"/>
            <w:szCs w:val="22"/>
          </w:rPr>
          <w:t>la Ciudad</w:t>
        </w:r>
      </w:smartTag>
      <w:r w:rsidRPr="008517C6">
        <w:rPr>
          <w:rFonts w:asciiTheme="majorHAnsi" w:hAnsiTheme="majorHAnsi" w:cs="Arial"/>
          <w:sz w:val="22"/>
          <w:szCs w:val="22"/>
        </w:rPr>
        <w:t xml:space="preserve"> de </w:t>
      </w:r>
      <w:smartTag w:uri="urn:schemas-microsoft-com:office:smarttags" w:element="PersonName">
        <w:smartTagPr>
          <w:attr w:name="ProductID" w:val="LA HABANA"/>
        </w:smartTagPr>
        <w:r w:rsidRPr="008517C6">
          <w:rPr>
            <w:rFonts w:asciiTheme="majorHAnsi" w:hAnsiTheme="majorHAnsi" w:cs="Arial"/>
            <w:sz w:val="22"/>
            <w:szCs w:val="22"/>
          </w:rPr>
          <w:t>la Habana</w:t>
        </w:r>
      </w:smartTag>
      <w:r w:rsidRPr="008517C6">
        <w:rPr>
          <w:rFonts w:asciiTheme="majorHAnsi" w:hAnsiTheme="majorHAnsi" w:cs="Arial"/>
          <w:sz w:val="22"/>
          <w:szCs w:val="22"/>
        </w:rPr>
        <w:t xml:space="preserve">). Es el CENIC el centro que por aquel entonces, representaba el mayor desarrollo de las investigaciones biomédicas; sustentadas en los nuevos avance biotecnológicos  y la implantación de los incipientes programas de Control de </w:t>
      </w:r>
      <w:smartTag w:uri="urn:schemas-microsoft-com:office:smarttags" w:element="PersonName">
        <w:smartTagPr>
          <w:attr w:name="ProductID" w:val="la Calidad"/>
        </w:smartTagPr>
        <w:r w:rsidRPr="008517C6">
          <w:rPr>
            <w:rFonts w:asciiTheme="majorHAnsi" w:hAnsiTheme="majorHAnsi" w:cs="Arial"/>
            <w:sz w:val="22"/>
            <w:szCs w:val="22"/>
          </w:rPr>
          <w:t>la Calidad</w:t>
        </w:r>
      </w:smartTag>
      <w:r w:rsidRPr="008517C6">
        <w:rPr>
          <w:rFonts w:asciiTheme="majorHAnsi" w:hAnsiTheme="majorHAnsi" w:cs="Arial"/>
          <w:sz w:val="22"/>
          <w:szCs w:val="22"/>
        </w:rPr>
        <w:t xml:space="preserve"> en los laboratorios clínicos (década de los 70) bajo la asesoría y dirección del académico alemán (RDA)  Klauss Thielmann. </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lastRenderedPageBreak/>
        <w:t xml:space="preserve">Paralelamente a estos acontecimientos se crean las primeras escuelas para la formación de técnicos  en la capital, en la región oriental (Santiago de Cuba) y en la región central del país (Villa Clara); y se perfeccionaron los programas de estudio de las carreras técnicas de Bancos de Sangre y  Servicios de Transfusiones, así como Microbiología y Laboratorio Clínico. Inicialmente estos estudios partían de jóvenes con octavo o noveno grados vencidos y fueron perfeccionándose cada vez más para dar paso a una formación cuyo nivel escolar de partida ascendió a 12mo grado.  Esta práctica estaba encaminada a eliminar el personal que de forma empírica prestaba servicios de salud y con ello garantizar la formación académica con un elevado nivel de competencia para desempeñarse en la función asistencial que le corresponde. Así mismo, en 1966, se inicia la formación en el área de la citohistopatología, mediante cursos de Anatomía Patológica y Citología con 1 año de duración, egresando como auxiliares técnicos en ambas especialidades con nivel de ingreso de 9no grado. Tras un período de 5 años recesan los cursos y se reanudan en 1980 con un perfil más amplio: Citohistopatología. En 1984 se modifica el nivel de ingreso con 12mo grado.  </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 xml:space="preserve">En el año 1989 comienza la formación de profesionales (Licenciados en Tecnología de </w:t>
      </w:r>
      <w:smartTag w:uri="urn:schemas-microsoft-com:office:smarttags" w:element="PersonName">
        <w:smartTagPr>
          <w:attr w:name="ProductID" w:val="la Salud"/>
        </w:smartTagPr>
        <w:r w:rsidRPr="008517C6">
          <w:rPr>
            <w:rFonts w:asciiTheme="majorHAnsi" w:hAnsiTheme="majorHAnsi" w:cs="Arial"/>
            <w:sz w:val="22"/>
            <w:szCs w:val="22"/>
          </w:rPr>
          <w:t>la Salud</w:t>
        </w:r>
      </w:smartTag>
      <w:r w:rsidRPr="008517C6">
        <w:rPr>
          <w:rFonts w:asciiTheme="majorHAnsi" w:hAnsiTheme="majorHAnsi" w:cs="Arial"/>
          <w:sz w:val="22"/>
          <w:szCs w:val="22"/>
        </w:rPr>
        <w:t xml:space="preserve"> en seis perfiles) con mención en Laboratorio Clínico y Banco de Sangre como uno de los perfiles a formar y mención en Citohistopatología (primeros graduados en 1994),esta formación se mantuvo hasta el curso 2005-2006;  no incluyéndose </w:t>
      </w:r>
      <w:smartTag w:uri="urn:schemas-microsoft-com:office:smarttags" w:element="PersonName">
        <w:smartTagPr>
          <w:attr w:name="ProductID" w:val="la Microbiolog￭a"/>
        </w:smartTagPr>
        <w:r w:rsidRPr="008517C6">
          <w:rPr>
            <w:rFonts w:asciiTheme="majorHAnsi" w:hAnsiTheme="majorHAnsi" w:cs="Arial"/>
            <w:sz w:val="22"/>
            <w:szCs w:val="22"/>
          </w:rPr>
          <w:t>la Microbiología</w:t>
        </w:r>
      </w:smartTag>
      <w:r w:rsidRPr="008517C6">
        <w:rPr>
          <w:rFonts w:asciiTheme="majorHAnsi" w:hAnsiTheme="majorHAnsi" w:cs="Arial"/>
          <w:sz w:val="22"/>
          <w:szCs w:val="22"/>
        </w:rPr>
        <w:t xml:space="preserve"> en este proyecto formativo, teniendo que realizarse la continuidad de estudios de este perfil en </w:t>
      </w:r>
      <w:smartTag w:uri="urn:schemas-microsoft-com:office:smarttags" w:element="PersonName">
        <w:smartTagPr>
          <w:attr w:name="ProductID" w:val="la Universidad"/>
        </w:smartTagPr>
        <w:r w:rsidRPr="008517C6">
          <w:rPr>
            <w:rFonts w:asciiTheme="majorHAnsi" w:hAnsiTheme="majorHAnsi" w:cs="Arial"/>
            <w:sz w:val="22"/>
            <w:szCs w:val="22"/>
          </w:rPr>
          <w:t>la Universidad</w:t>
        </w:r>
      </w:smartTag>
      <w:r w:rsidRPr="008517C6">
        <w:rPr>
          <w:rFonts w:asciiTheme="majorHAnsi" w:hAnsiTheme="majorHAnsi" w:cs="Arial"/>
          <w:sz w:val="22"/>
          <w:szCs w:val="22"/>
        </w:rPr>
        <w:t xml:space="preserve"> de </w:t>
      </w:r>
      <w:smartTag w:uri="urn:schemas-microsoft-com:office:smarttags" w:element="PersonName">
        <w:smartTagPr>
          <w:attr w:name="ProductID" w:val="LA HABANA"/>
        </w:smartTagPr>
        <w:r w:rsidRPr="008517C6">
          <w:rPr>
            <w:rFonts w:asciiTheme="majorHAnsi" w:hAnsiTheme="majorHAnsi" w:cs="Arial"/>
            <w:sz w:val="22"/>
            <w:szCs w:val="22"/>
          </w:rPr>
          <w:t>La Habana</w:t>
        </w:r>
      </w:smartTag>
      <w:r w:rsidRPr="008517C6">
        <w:rPr>
          <w:rFonts w:asciiTheme="majorHAnsi" w:hAnsiTheme="majorHAnsi" w:cs="Arial"/>
          <w:sz w:val="22"/>
          <w:szCs w:val="22"/>
        </w:rPr>
        <w:t xml:space="preserve">, en las carreras de Licenciatura en Bioquímica, Microbiología o Biología, y en los Institutos Superiores Pedagógicos. Esta formación tenía 5 años de duración mediante cursos por encuentros y estuvo vigente hasta el 2003, en que se integra al Nuevo Modelo Pedagógico de </w:t>
      </w:r>
      <w:smartTag w:uri="urn:schemas-microsoft-com:office:smarttags" w:element="PersonName">
        <w:smartTagPr>
          <w:attr w:name="ProductID" w:val="LA CARRERA"/>
        </w:smartTagPr>
        <w:r w:rsidRPr="008517C6">
          <w:rPr>
            <w:rFonts w:asciiTheme="majorHAnsi" w:hAnsiTheme="majorHAnsi" w:cs="Arial"/>
            <w:sz w:val="22"/>
            <w:szCs w:val="22"/>
          </w:rPr>
          <w:t>la Carrera</w:t>
        </w:r>
      </w:smartTag>
      <w:r w:rsidRPr="008517C6">
        <w:rPr>
          <w:rFonts w:asciiTheme="majorHAnsi" w:hAnsiTheme="majorHAnsi" w:cs="Arial"/>
          <w:sz w:val="22"/>
          <w:szCs w:val="22"/>
        </w:rPr>
        <w:t xml:space="preserve"> de Tecnología de </w:t>
      </w:r>
      <w:smartTag w:uri="urn:schemas-microsoft-com:office:smarttags" w:element="PersonName">
        <w:smartTagPr>
          <w:attr w:name="ProductID" w:val="la Salud."/>
        </w:smartTagPr>
        <w:r w:rsidRPr="008517C6">
          <w:rPr>
            <w:rFonts w:asciiTheme="majorHAnsi" w:hAnsiTheme="majorHAnsi" w:cs="Arial"/>
            <w:sz w:val="22"/>
            <w:szCs w:val="22"/>
          </w:rPr>
          <w:t>la Salud.</w:t>
        </w:r>
      </w:smartTag>
      <w:r w:rsidRPr="008517C6">
        <w:rPr>
          <w:rFonts w:asciiTheme="majorHAnsi" w:hAnsiTheme="majorHAnsi" w:cs="Arial"/>
          <w:sz w:val="22"/>
          <w:szCs w:val="22"/>
        </w:rPr>
        <w:t xml:space="preserve"> </w:t>
      </w:r>
    </w:p>
    <w:p w:rsidR="00B76E28" w:rsidRPr="008517C6" w:rsidRDefault="00B76E28" w:rsidP="008517C6">
      <w:pPr>
        <w:pStyle w:val="Textoindependiente"/>
        <w:spacing w:after="120"/>
        <w:rPr>
          <w:rFonts w:asciiTheme="majorHAnsi" w:hAnsiTheme="majorHAnsi"/>
        </w:rPr>
      </w:pPr>
      <w:r w:rsidRPr="008517C6">
        <w:rPr>
          <w:rFonts w:asciiTheme="majorHAnsi" w:hAnsiTheme="majorHAnsi"/>
        </w:rPr>
        <w:t xml:space="preserve">En la actualidad existen especialidades médicas como: Microbiología, Hematología, Inmunología, Medicina Legal, Anatomía Patológica, Bioquímica y Laboratorio Clínico, Alergología, Fisiología Normal y Patológica que egresan profesionales que se desempeñan en áreas afines, que dada su formación fundamentalmente clínica, complejidad y particularidad hacen énfasis en el campo experimental y asistencial. También se cuenta con profesionales universitarios egresados de </w:t>
      </w:r>
      <w:smartTag w:uri="urn:schemas-microsoft-com:office:smarttags" w:element="PersonName">
        <w:smartTagPr>
          <w:attr w:name="ProductID" w:val="la Licenciatura"/>
        </w:smartTagPr>
        <w:r w:rsidRPr="008517C6">
          <w:rPr>
            <w:rFonts w:asciiTheme="majorHAnsi" w:hAnsiTheme="majorHAnsi"/>
          </w:rPr>
          <w:t>la Licenciatura</w:t>
        </w:r>
      </w:smartTag>
      <w:r w:rsidRPr="008517C6">
        <w:rPr>
          <w:rFonts w:asciiTheme="majorHAnsi" w:hAnsiTheme="majorHAnsi"/>
        </w:rPr>
        <w:t xml:space="preserve"> en Biología, Microbiología  y Bioquímica con funciones afines pero al no ser formados dentro del Sistema Nacional de Salud (SNS) no satisfacen plenamente los requerimientos para el trabajo en el campo de </w:t>
      </w:r>
      <w:smartTag w:uri="urn:schemas-microsoft-com:office:smarttags" w:element="PersonName">
        <w:smartTagPr>
          <w:attr w:name="ProductID" w:val="la Salud P￺blica."/>
        </w:smartTagPr>
        <w:r w:rsidRPr="008517C6">
          <w:rPr>
            <w:rFonts w:asciiTheme="majorHAnsi" w:hAnsiTheme="majorHAnsi"/>
          </w:rPr>
          <w:t>la Salud Pública</w:t>
        </w:r>
      </w:smartTag>
      <w:r w:rsidRPr="008517C6">
        <w:rPr>
          <w:rFonts w:asciiTheme="majorHAnsi" w:hAnsiTheme="majorHAnsi"/>
        </w:rPr>
        <w:t xml:space="preserve">; y requieren de un adiestramiento que les posibilite enfrentar la práctica transfusional y el diagnóstico de laboratorio del proceso salud enfermedad, debido a las múltiples salidas de estas carreras. </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 xml:space="preserve">Desde el curso académico 2002-2003  comienza la formación continuada de técnico básico, técnico  y licenciado en 4 perfiles donde se incluían  los perfiles de Laboratorio Clínico y Medicina Transfusional por separado; apareciendo la formación con iguales niveles en los perfiles de Citohistopatología y Microbiología, un curso después (2003 – 2004).  Hoy, estos profesionales desarrollan competencias similares dentro de la práctica de las ciencias biomédicas, y emplean tecnologías comunes,  y debido a los avances en las tecnologías empleadas para el diagnóstico en los Laboratorios de Biomedicina, y su aplicación en los tres niveles de atención del Sistema Nacional de Salud, la política del Estado de garantizar la atención integral al individuo, la familia y la comunidad para mantener y elevar los indicadores de salud de la población cubana, condiciona la necesidad de contar con profesionales calificados con un perfil amplio de formación. </w:t>
      </w:r>
    </w:p>
    <w:p w:rsidR="00B76E28" w:rsidRPr="008517C6" w:rsidRDefault="00B76E28" w:rsidP="008517C6">
      <w:pPr>
        <w:pStyle w:val="Textoindependiente2"/>
        <w:spacing w:line="240" w:lineRule="auto"/>
        <w:jc w:val="both"/>
        <w:rPr>
          <w:rFonts w:asciiTheme="majorHAnsi" w:hAnsiTheme="majorHAnsi" w:cs="Arial"/>
          <w:sz w:val="22"/>
          <w:szCs w:val="22"/>
        </w:rPr>
      </w:pPr>
      <w:r w:rsidRPr="008517C6">
        <w:rPr>
          <w:rFonts w:asciiTheme="majorHAnsi" w:hAnsiTheme="majorHAnsi" w:cs="Arial"/>
          <w:sz w:val="22"/>
          <w:szCs w:val="22"/>
        </w:rPr>
        <w:t xml:space="preserve">En el curso académico 2010-2011 comienza a impartirse la Licenciatura en Bioanálisis Clínico, en la modalidad presencial, con carácter nacional, basándose en las necesidades planteadas por el Ministerio de Salud Pública que requiere de la formación de un personal propio, de perfil amplio,  capacitado para participar en el control de las enfermedades agudas y crónicas (trasmisibles y no trasmisibles), no solo desde el punto de vista del diagnóstico de laboratorio, sino, con la ejecución de acciones preventivas, terapéuticas y productivas, con una sólida formación humana y científica. Este licenciado se incorporará, a los servicios de salud ya existentes, permitirá garantizar la realización de estudios citológicos, histopatológicos,  fisiológicos e inmunoalérgicos, </w:t>
      </w:r>
      <w:r w:rsidRPr="008517C6">
        <w:rPr>
          <w:rFonts w:asciiTheme="majorHAnsi" w:hAnsiTheme="majorHAnsi" w:cs="Arial"/>
          <w:sz w:val="22"/>
          <w:szCs w:val="22"/>
        </w:rPr>
        <w:lastRenderedPageBreak/>
        <w:t xml:space="preserve">al nivel primario de atención, con los que no se cuenta actualmente, dado el desarrollo actual de los Policlínicos Universitarios, aumentando las posibilidades diagnósticas, terapéuticas y preventivas a ese nivel. </w:t>
      </w:r>
    </w:p>
    <w:p w:rsidR="00B76E28" w:rsidRPr="008517C6" w:rsidRDefault="00B76E28" w:rsidP="008517C6">
      <w:pPr>
        <w:pStyle w:val="Textoindependiente"/>
        <w:spacing w:after="120"/>
        <w:rPr>
          <w:rFonts w:asciiTheme="majorHAnsi" w:hAnsiTheme="majorHAnsi"/>
        </w:rPr>
      </w:pPr>
      <w:r w:rsidRPr="008517C6">
        <w:rPr>
          <w:rFonts w:asciiTheme="majorHAnsi" w:hAnsiTheme="majorHAnsi"/>
        </w:rPr>
        <w:t>Existe la carrera Licenciatura en Bioanálisis clínico con formación similar en: República Dominicana (Universidad Tecnológica de Cibao, Universidad Autónoma de Santo Domingo), Colombia (</w:t>
      </w:r>
      <w:hyperlink r:id="rId7" w:history="1">
        <w:r w:rsidRPr="008517C6">
          <w:rPr>
            <w:rFonts w:asciiTheme="majorHAnsi" w:hAnsiTheme="majorHAnsi"/>
          </w:rPr>
          <w:t>Universidad Colegio Mayor de Cundinamarca</w:t>
        </w:r>
      </w:hyperlink>
      <w:r w:rsidRPr="008517C6">
        <w:rPr>
          <w:rFonts w:asciiTheme="majorHAnsi" w:hAnsiTheme="majorHAnsi"/>
        </w:rPr>
        <w:t xml:space="preserve">- Bogotá), Chile (Universidad de Concepción, Facultad de Medicina; Universidad de Chile- forma un Tecnólogo Médico con mención en Bioanálisis Clínico, Colegio Tecnólogos Médicos de Chile, </w:t>
      </w:r>
      <w:hyperlink r:id="rId8" w:history="1">
        <w:r w:rsidRPr="008517C6">
          <w:rPr>
            <w:rFonts w:asciiTheme="majorHAnsi" w:hAnsiTheme="majorHAnsi"/>
          </w:rPr>
          <w:t>Universidad Andrés Bello</w:t>
        </w:r>
      </w:hyperlink>
      <w:r w:rsidRPr="008517C6">
        <w:rPr>
          <w:rFonts w:asciiTheme="majorHAnsi" w:hAnsiTheme="majorHAnsi"/>
        </w:rPr>
        <w:t xml:space="preserve">), Nicaragua (Facultad de Ciencias Médicas UNAN-León), Venezuela (Universidad de Zulia- Escuela de Bioanálisis, Universidad de Los Andes-Facultad de Farmacia y Bioanálisis, Universidad de Carabobo), Perú,  Ecuador (Escuela de Bioanálisis. Quito-Pichincha), Costa Rica, México (Facultad de Bioanálisis de </w:t>
      </w:r>
      <w:smartTag w:uri="urn:schemas-microsoft-com:office:smarttags" w:element="PersonName">
        <w:smartTagPr>
          <w:attr w:name="ProductID" w:val="la Universidad Veracruzana"/>
        </w:smartTagPr>
        <w:smartTag w:uri="urn:schemas-microsoft-com:office:smarttags" w:element="PersonName">
          <w:smartTagPr>
            <w:attr w:name="ProductID" w:val="la Universidad"/>
          </w:smartTagPr>
          <w:r w:rsidRPr="008517C6">
            <w:rPr>
              <w:rFonts w:asciiTheme="majorHAnsi" w:hAnsiTheme="majorHAnsi"/>
            </w:rPr>
            <w:t>la Universidad</w:t>
          </w:r>
        </w:smartTag>
        <w:r w:rsidRPr="008517C6">
          <w:rPr>
            <w:rFonts w:asciiTheme="majorHAnsi" w:hAnsiTheme="majorHAnsi"/>
          </w:rPr>
          <w:t xml:space="preserve"> Veracruzana</w:t>
        </w:r>
      </w:smartTag>
      <w:r w:rsidRPr="008517C6">
        <w:rPr>
          <w:rFonts w:asciiTheme="majorHAnsi" w:hAnsiTheme="majorHAnsi"/>
        </w:rPr>
        <w:t xml:space="preserve">), Facultad de Medicina Clínica Alemana-UDD, entre otros países. </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 xml:space="preserve">Marco teórico conceptual de la educación en ciencias de </w:t>
      </w:r>
      <w:smartTag w:uri="urn:schemas-microsoft-com:office:smarttags" w:element="PersonName">
        <w:smartTagPr>
          <w:attr w:name="ProductID" w:val="la Salud."/>
        </w:smartTagPr>
        <w:r w:rsidRPr="008517C6">
          <w:rPr>
            <w:rFonts w:asciiTheme="majorHAnsi" w:hAnsiTheme="majorHAnsi" w:cs="Arial"/>
            <w:b/>
            <w:sz w:val="22"/>
            <w:szCs w:val="22"/>
          </w:rPr>
          <w:t>la Salud.</w:t>
        </w:r>
      </w:smartTag>
    </w:p>
    <w:p w:rsidR="00B76E28" w:rsidRPr="008517C6" w:rsidRDefault="00B76E28" w:rsidP="008517C6">
      <w:pPr>
        <w:spacing w:after="120"/>
        <w:jc w:val="both"/>
        <w:rPr>
          <w:rFonts w:asciiTheme="majorHAnsi" w:hAnsiTheme="majorHAnsi" w:cs="Arial"/>
          <w:bCs/>
          <w:sz w:val="22"/>
          <w:szCs w:val="22"/>
        </w:rPr>
      </w:pPr>
      <w:r w:rsidRPr="008517C6">
        <w:rPr>
          <w:rFonts w:asciiTheme="majorHAnsi" w:hAnsiTheme="majorHAnsi" w:cs="Arial"/>
          <w:bCs/>
          <w:sz w:val="22"/>
          <w:szCs w:val="22"/>
        </w:rPr>
        <w:t xml:space="preserve">Los antecedentes en la formación de profesionales en el campo de las tecnologías en salud, se enmarcan en la formación de personal técnico, cuyo esplendor se alcanzó en la década de los 70 con la creación de los politécnicos de la salud en todo el país. </w:t>
      </w:r>
    </w:p>
    <w:p w:rsidR="00B76E28" w:rsidRPr="008517C6" w:rsidRDefault="00B76E28" w:rsidP="008517C6">
      <w:pPr>
        <w:spacing w:after="120"/>
        <w:jc w:val="both"/>
        <w:rPr>
          <w:rFonts w:asciiTheme="majorHAnsi" w:hAnsiTheme="majorHAnsi" w:cs="Arial"/>
          <w:bCs/>
          <w:sz w:val="22"/>
          <w:szCs w:val="22"/>
        </w:rPr>
      </w:pPr>
      <w:r w:rsidRPr="008517C6">
        <w:rPr>
          <w:rFonts w:asciiTheme="majorHAnsi" w:hAnsiTheme="majorHAnsi" w:cs="Arial"/>
          <w:sz w:val="22"/>
          <w:szCs w:val="22"/>
        </w:rPr>
        <w:t xml:space="preserve">Una breve caracterización de los modelos asumidos en la formación de profesionales de la salud y en particular de los tecnólogos nos dejan ver  como en el año 1989 se inicia por vez primera en el Instituto Superior de Ciencias Médicas de </w:t>
      </w:r>
      <w:smartTag w:uri="urn:schemas-microsoft-com:office:smarttags" w:element="PersonName">
        <w:smartTagPr>
          <w:attr w:name="ProductID" w:val="LA HABANA"/>
        </w:smartTagPr>
        <w:r w:rsidRPr="008517C6">
          <w:rPr>
            <w:rFonts w:asciiTheme="majorHAnsi" w:hAnsiTheme="majorHAnsi" w:cs="Arial"/>
            <w:sz w:val="22"/>
            <w:szCs w:val="22"/>
          </w:rPr>
          <w:t>la Habana</w:t>
        </w:r>
      </w:smartTag>
      <w:r w:rsidRPr="008517C6">
        <w:rPr>
          <w:rFonts w:asciiTheme="majorHAnsi" w:hAnsiTheme="majorHAnsi" w:cs="Arial"/>
          <w:sz w:val="22"/>
          <w:szCs w:val="22"/>
        </w:rPr>
        <w:t xml:space="preserve">, la formación de profesionales de tecnología de la salud, </w:t>
      </w:r>
      <w:r w:rsidRPr="008517C6">
        <w:rPr>
          <w:rFonts w:asciiTheme="majorHAnsi" w:hAnsiTheme="majorHAnsi" w:cs="Arial"/>
          <w:bCs/>
          <w:sz w:val="22"/>
          <w:szCs w:val="22"/>
        </w:rPr>
        <w:t xml:space="preserve">diseñada en la modalidad por encuentros y para personal con formación técnica aunque sólo en seis especialidades, siendo estas Higiene y Epidemiología, Laboratorio Clínico, Citohistopatología, Terapia Física y Rehabilitación, Optometría y Óptica y Rayos X, </w:t>
      </w:r>
      <w:r w:rsidRPr="008517C6">
        <w:rPr>
          <w:rFonts w:asciiTheme="majorHAnsi" w:hAnsiTheme="majorHAnsi" w:cs="Arial"/>
          <w:sz w:val="22"/>
          <w:szCs w:val="22"/>
        </w:rPr>
        <w:t xml:space="preserve">en cuyo diseño la organización del plan de estudio se estructuró con la existencia de un tronco común </w:t>
      </w:r>
      <w:r w:rsidRPr="008517C6">
        <w:rPr>
          <w:rFonts w:asciiTheme="majorHAnsi" w:hAnsiTheme="majorHAnsi" w:cs="Arial"/>
          <w:bCs/>
          <w:sz w:val="22"/>
          <w:szCs w:val="22"/>
        </w:rPr>
        <w:t xml:space="preserve">de primero a tercer año, de asignaturas esencialmente relacionadas con </w:t>
      </w:r>
      <w:r w:rsidRPr="008517C6">
        <w:rPr>
          <w:rFonts w:asciiTheme="majorHAnsi" w:hAnsiTheme="majorHAnsi" w:cs="Arial"/>
          <w:sz w:val="22"/>
          <w:szCs w:val="22"/>
        </w:rPr>
        <w:t>las Ciencias Básicas Biomédicas,</w:t>
      </w:r>
      <w:r w:rsidRPr="008517C6">
        <w:rPr>
          <w:rFonts w:asciiTheme="majorHAnsi" w:hAnsiTheme="majorHAnsi" w:cs="Arial"/>
          <w:bCs/>
          <w:sz w:val="22"/>
          <w:szCs w:val="22"/>
        </w:rPr>
        <w:t xml:space="preserve"> para todos los estudiantes independientemente de la especialidad de ingreso, comenzando a partir del cuarto año a recibir asignaturas específicas vinculadas a su perfil. La misma si bien en su momento constituyó un logro permitiendo que el </w:t>
      </w:r>
      <w:r w:rsidRPr="008517C6">
        <w:rPr>
          <w:rFonts w:asciiTheme="majorHAnsi" w:hAnsiTheme="majorHAnsi" w:cs="Arial"/>
          <w:sz w:val="22"/>
          <w:szCs w:val="22"/>
        </w:rPr>
        <w:t xml:space="preserve">personal con titulación técnica adquiriera una mayor preparación científico -- técnica, su proyección estuvo muy limitada ya que en un período de diez años apenas extendió su formación a dos provincias, </w:t>
      </w:r>
      <w:r w:rsidRPr="008517C6">
        <w:rPr>
          <w:rFonts w:asciiTheme="majorHAnsi" w:hAnsiTheme="majorHAnsi" w:cs="Arial"/>
          <w:bCs/>
          <w:sz w:val="22"/>
          <w:szCs w:val="22"/>
        </w:rPr>
        <w:t xml:space="preserve">con una cobertura de plazas muy limitada. </w:t>
      </w:r>
    </w:p>
    <w:p w:rsidR="00B76E28" w:rsidRPr="008517C6" w:rsidRDefault="00B76E28" w:rsidP="008517C6">
      <w:pPr>
        <w:spacing w:after="120"/>
        <w:jc w:val="both"/>
        <w:rPr>
          <w:rFonts w:asciiTheme="majorHAnsi" w:hAnsiTheme="majorHAnsi" w:cs="Arial"/>
          <w:bCs/>
          <w:sz w:val="22"/>
          <w:szCs w:val="22"/>
        </w:rPr>
      </w:pPr>
      <w:r w:rsidRPr="008517C6">
        <w:rPr>
          <w:rFonts w:asciiTheme="majorHAnsi" w:hAnsiTheme="majorHAnsi" w:cs="Arial"/>
          <w:bCs/>
          <w:sz w:val="22"/>
          <w:szCs w:val="22"/>
        </w:rPr>
        <w:t xml:space="preserve">En el año 2002, al calor de </w:t>
      </w:r>
      <w:smartTag w:uri="urn:schemas-microsoft-com:office:smarttags" w:element="PersonName">
        <w:smartTagPr>
          <w:attr w:name="ProductID" w:val="la Batalla"/>
        </w:smartTagPr>
        <w:r w:rsidRPr="008517C6">
          <w:rPr>
            <w:rFonts w:asciiTheme="majorHAnsi" w:hAnsiTheme="majorHAnsi" w:cs="Arial"/>
            <w:bCs/>
            <w:sz w:val="22"/>
            <w:szCs w:val="22"/>
          </w:rPr>
          <w:t>la Batalla</w:t>
        </w:r>
      </w:smartTag>
      <w:r w:rsidRPr="008517C6">
        <w:rPr>
          <w:rFonts w:asciiTheme="majorHAnsi" w:hAnsiTheme="majorHAnsi" w:cs="Arial"/>
          <w:bCs/>
          <w:sz w:val="22"/>
          <w:szCs w:val="22"/>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n"/>
        </w:smartTagPr>
        <w:r w:rsidRPr="008517C6">
          <w:rPr>
            <w:rFonts w:asciiTheme="majorHAnsi" w:hAnsiTheme="majorHAnsi" w:cs="Arial"/>
            <w:bCs/>
            <w:sz w:val="22"/>
            <w:szCs w:val="22"/>
          </w:rPr>
          <w:t>la Revolución</w:t>
        </w:r>
      </w:smartTag>
      <w:r w:rsidRPr="008517C6">
        <w:rPr>
          <w:rFonts w:asciiTheme="majorHAnsi" w:hAnsiTheme="majorHAnsi" w:cs="Arial"/>
          <w:bCs/>
          <w:sz w:val="22"/>
          <w:szCs w:val="22"/>
        </w:rPr>
        <w:t xml:space="preserve"> de transformar los servicios de Salud, deprimidos en ese entonces por el “periodo especial”, y la inserción social de jóvenes desvinculados del estudio y el trabajo, preparándose entonces con una calificación de técnicos básicos en un periodo de un año a un grupo de jóvenes en los perfiles de Laboratorio Clínico, Terapia Física y Rehabilitación Medicina Transfusional e Imagenología,  siendo propuesta por nuestro Comandante en Jefe Fidel Castro, en su graduación, la creación de una carrera para la formación de profesionales en tecnología de la salud que abarcara la totalidad de las especialidades técnicas que en ese entonces existían como parte de la enseñanza médica media, como se denominaba en aquellos momentos.  Es entonces que en el curso 2003 – 2004 se inicia a nivel nacional la nueva carrera de Tecnología de </w:t>
      </w:r>
      <w:smartTag w:uri="urn:schemas-microsoft-com:office:smarttags" w:element="PersonName">
        <w:smartTagPr>
          <w:attr w:name="ProductID" w:val="la Salud"/>
        </w:smartTagPr>
        <w:r w:rsidRPr="008517C6">
          <w:rPr>
            <w:rFonts w:asciiTheme="majorHAnsi" w:hAnsiTheme="majorHAnsi" w:cs="Arial"/>
            <w:bCs/>
            <w:sz w:val="22"/>
            <w:szCs w:val="22"/>
          </w:rPr>
          <w:t>la Salud</w:t>
        </w:r>
      </w:smartTag>
      <w:r w:rsidRPr="008517C6">
        <w:rPr>
          <w:rFonts w:asciiTheme="majorHAnsi" w:hAnsiTheme="majorHAnsi" w:cs="Arial"/>
          <w:bCs/>
          <w:sz w:val="22"/>
          <w:szCs w:val="22"/>
        </w:rPr>
        <w:t xml:space="preserve">, </w:t>
      </w:r>
      <w:r w:rsidRPr="008517C6">
        <w:rPr>
          <w:rFonts w:asciiTheme="majorHAnsi" w:hAnsiTheme="majorHAnsi" w:cs="Arial"/>
          <w:sz w:val="22"/>
          <w:szCs w:val="22"/>
        </w:rPr>
        <w:t>sustentada en el denominado “Nuevo Modelo Pedagógico”,</w:t>
      </w:r>
      <w:r w:rsidRPr="008517C6">
        <w:rPr>
          <w:rFonts w:asciiTheme="majorHAnsi" w:hAnsiTheme="majorHAnsi" w:cs="Arial"/>
          <w:bCs/>
          <w:sz w:val="22"/>
          <w:szCs w:val="22"/>
        </w:rPr>
        <w:t xml:space="preserve"> aunque con particularidades afines  a las necesidades del sector salud. </w:t>
      </w:r>
    </w:p>
    <w:p w:rsidR="00B76E28" w:rsidRPr="008517C6" w:rsidRDefault="00B76E28" w:rsidP="008517C6">
      <w:pPr>
        <w:spacing w:after="120"/>
        <w:jc w:val="both"/>
        <w:rPr>
          <w:rFonts w:asciiTheme="majorHAnsi" w:hAnsiTheme="majorHAnsi" w:cs="Arial"/>
          <w:bCs/>
          <w:sz w:val="22"/>
          <w:szCs w:val="22"/>
        </w:rPr>
      </w:pPr>
      <w:r w:rsidRPr="008517C6">
        <w:rPr>
          <w:rFonts w:asciiTheme="majorHAnsi" w:hAnsiTheme="majorHAnsi" w:cs="Arial"/>
          <w:bCs/>
          <w:sz w:val="22"/>
          <w:szCs w:val="22"/>
        </w:rPr>
        <w:t xml:space="preserve">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w:t>
      </w:r>
      <w:r w:rsidRPr="008517C6">
        <w:rPr>
          <w:rFonts w:asciiTheme="majorHAnsi" w:hAnsiTheme="majorHAnsi" w:cs="Arial"/>
          <w:bCs/>
          <w:sz w:val="22"/>
          <w:szCs w:val="22"/>
        </w:rPr>
        <w:lastRenderedPageBreak/>
        <w:t>administrativa.  Este modelo permitió además que el futuro profesional una vez concluido su primer año de estudio se incorporara a los escenarios laborales como trabajador de la salud y desde esa condición continuar sus estudios universitarios hasta alcanzar su titulación.</w:t>
      </w:r>
    </w:p>
    <w:p w:rsidR="00B76E28" w:rsidRPr="008517C6" w:rsidRDefault="00B76E28" w:rsidP="008517C6">
      <w:pPr>
        <w:spacing w:after="120"/>
        <w:jc w:val="both"/>
        <w:rPr>
          <w:rFonts w:asciiTheme="majorHAnsi" w:hAnsiTheme="majorHAnsi" w:cs="Arial"/>
          <w:bCs/>
          <w:sz w:val="22"/>
          <w:szCs w:val="22"/>
        </w:rPr>
      </w:pPr>
      <w:r w:rsidRPr="008517C6">
        <w:rPr>
          <w:rFonts w:asciiTheme="majorHAnsi" w:hAnsiTheme="majorHAnsi" w:cs="Arial"/>
          <w:bCs/>
          <w:sz w:val="22"/>
          <w:szCs w:val="22"/>
        </w:rPr>
        <w:t xml:space="preserve">Sin embargo, en estos momentos la universidad médica está llamada una vez más a realizar transformaciones en sus diseños, como una continuidad a lo ya logrado, pues aún cuando esta formación de tecnólogos se valoró de gran impacto por los beneficios que reportó al sistema de salud, al nutrirlos de personal joven y con suficiente preparación en aras de mejorar la calidad de los servicios, su concepción actual no cumple en toda su extensión con las exigencias de la sociedad, en pos de contribuir al desarrollo sostenible del país, por lo que en estos momentos se asume un nuevo diseño curricular sobre la base de la metodología orientada por el Ministerio de Educación Superior para la cuarta generación de planes de estudio (Plan D), demostrando así su pertinencia. </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Cs/>
          <w:color w:val="FF0000"/>
          <w:sz w:val="22"/>
          <w:szCs w:val="22"/>
        </w:rPr>
        <w:t xml:space="preserve"> </w:t>
      </w:r>
      <w:r w:rsidRPr="008517C6">
        <w:rPr>
          <w:rFonts w:asciiTheme="majorHAnsi" w:hAnsiTheme="majorHAnsi" w:cs="Arial"/>
          <w:b/>
          <w:sz w:val="22"/>
          <w:szCs w:val="22"/>
        </w:rPr>
        <w:t xml:space="preserve">BASES CONCEPTUALES DEL DISEÑO </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 xml:space="preserve">Diseño de carreras </w:t>
      </w:r>
      <w:r w:rsidRPr="008517C6">
        <w:rPr>
          <w:rFonts w:asciiTheme="majorHAnsi" w:hAnsiTheme="majorHAnsi"/>
          <w:bCs/>
          <w:sz w:val="22"/>
          <w:szCs w:val="22"/>
        </w:rPr>
        <w:t xml:space="preserve">con </w:t>
      </w:r>
      <w:r w:rsidRPr="008517C6">
        <w:rPr>
          <w:rFonts w:asciiTheme="majorHAnsi" w:hAnsiTheme="majorHAnsi"/>
          <w:sz w:val="22"/>
          <w:szCs w:val="22"/>
        </w:rPr>
        <w:t>mayor nivel de esencialidad y racionalidad, dirigidos a la consolidación de la formación investigativo-laboral de los estudiantes a partir de una mayor integración de las clases, el trabajo científico y las prácticas laborales.</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 xml:space="preserve">Formación de profesionales de perfil amplio, preparados para desempeñarse en el amplio campo de los procesos tecnológicos en salud, </w:t>
      </w:r>
      <w:r w:rsidRPr="008517C6">
        <w:rPr>
          <w:rFonts w:asciiTheme="majorHAnsi" w:hAnsiTheme="majorHAnsi"/>
          <w:sz w:val="22"/>
          <w:szCs w:val="22"/>
          <w:lang w:val="es-ES_tradnl"/>
        </w:rPr>
        <w:t xml:space="preserve">de manera activa como </w:t>
      </w:r>
      <w:r w:rsidRPr="008517C6">
        <w:rPr>
          <w:rFonts w:asciiTheme="majorHAnsi" w:hAnsiTheme="majorHAnsi"/>
          <w:sz w:val="22"/>
          <w:szCs w:val="22"/>
        </w:rPr>
        <w:t xml:space="preserve">integrante del equipo de salud, aportando información necesaria para el accionar médico, </w:t>
      </w:r>
      <w:r w:rsidRPr="008517C6">
        <w:rPr>
          <w:rFonts w:asciiTheme="majorHAnsi" w:hAnsiTheme="majorHAnsi"/>
          <w:bCs/>
          <w:sz w:val="22"/>
          <w:szCs w:val="22"/>
        </w:rPr>
        <w:t xml:space="preserve">donde los modos de actuación están determinados en función del cumplimiento de cuatro funciones básicas: asistencial, docente, investigativa y administrativa. </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Existencia de una disciplina principal integradora, que desde los primeros años de la carrera trabaja sobre el objeto de la profesión a niveles elementales, y que a medida que se transita por los diferentes ciclos tributa al desarrollo de habilidades profesionales,  a la que se integran otros ejes curriculares como el humanista, la comunicación, la ética médica y social, el ambientalista, idiomas, informática médica e investigación, entre otros.</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 xml:space="preserve">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 </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Diseño de estrategias docentes donde se combinan las tecnologías de la información y la comunicación con la enseñanza práctica en l</w:t>
      </w:r>
      <w:r w:rsidR="00627C38">
        <w:rPr>
          <w:rFonts w:asciiTheme="majorHAnsi" w:hAnsiTheme="majorHAnsi"/>
          <w:sz w:val="22"/>
          <w:szCs w:val="22"/>
        </w:rPr>
        <w:t xml:space="preserve">os escenarios de formación. </w:t>
      </w:r>
      <w:r w:rsidRPr="008517C6">
        <w:rPr>
          <w:rFonts w:asciiTheme="majorHAnsi" w:hAnsiTheme="majorHAnsi"/>
          <w:sz w:val="22"/>
          <w:szCs w:val="22"/>
        </w:rPr>
        <w:t>La forma principal de organización de la enseñanza es la educación en el trabajo, utilizando también diferentes formas de  actividades grupales y de trabajo independiente que garanticen el aprendizaje activo de los educandos.</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Integración de los ejes curriculares tanto horizontal (intra ciclo o año académico) como vertical (trans-ciclo o años académicos), de manera que se aborden los contenidos de ciencias básicas y de las asignaturas del ejercicio de la profesión a lo  largo de la carrera.</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 xml:space="preserve">Modelo educativo con un nivel de flexibilidad y </w:t>
      </w:r>
      <w:r w:rsidRPr="008517C6">
        <w:rPr>
          <w:rFonts w:asciiTheme="majorHAnsi" w:hAnsiTheme="majorHAnsi"/>
          <w:bCs/>
          <w:iCs/>
          <w:sz w:val="22"/>
          <w:szCs w:val="22"/>
        </w:rPr>
        <w:t xml:space="preserve">descentralización </w:t>
      </w:r>
      <w:r w:rsidRPr="008517C6">
        <w:rPr>
          <w:rFonts w:asciiTheme="majorHAnsi" w:hAnsiTheme="majorHAnsi"/>
          <w:sz w:val="22"/>
          <w:szCs w:val="22"/>
        </w:rPr>
        <w:t xml:space="preserve">que permite a los centros de formación </w:t>
      </w:r>
      <w:r w:rsidRPr="008517C6">
        <w:rPr>
          <w:rFonts w:asciiTheme="majorHAnsi" w:hAnsiTheme="majorHAnsi"/>
          <w:bCs/>
          <w:iCs/>
          <w:sz w:val="22"/>
          <w:szCs w:val="22"/>
        </w:rPr>
        <w:t>la diversidad</w:t>
      </w:r>
      <w:r w:rsidRPr="008517C6">
        <w:rPr>
          <w:rFonts w:asciiTheme="majorHAnsi" w:hAnsiTheme="majorHAnsi"/>
          <w:sz w:val="22"/>
          <w:szCs w:val="22"/>
        </w:rPr>
        <w:t xml:space="preserve"> necesaria, a partir de las condiciones concretas de cada uno de ellos y de los territorios donde están ubicados.</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 xml:space="preserve">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w:t>
      </w:r>
      <w:r w:rsidRPr="008517C6">
        <w:rPr>
          <w:rFonts w:asciiTheme="majorHAnsi" w:hAnsiTheme="majorHAnsi"/>
          <w:sz w:val="22"/>
          <w:szCs w:val="22"/>
        </w:rPr>
        <w:lastRenderedPageBreak/>
        <w:t>sobre los mismos inciden en dependencia del contexto y el colectivo estudiantil.</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 xml:space="preserve">Preparación y acreditación de los distintos escenarios docentes donde se desarrollen los procesos formativos así como del sistema de medios de enseñanza a utilizar por los estudiantes y docentes.   </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Sistema integral de evaluación y control del proceso docente y de sus actores, de manera que se pueda intervenir con fines correctores tan pronto como se detecten dificultades de cualquier tipo.</w:t>
      </w:r>
    </w:p>
    <w:p w:rsidR="00B76E28" w:rsidRPr="008517C6" w:rsidRDefault="00B76E28" w:rsidP="008517C6">
      <w:pPr>
        <w:pStyle w:val="Lneadeasunto"/>
        <w:numPr>
          <w:ilvl w:val="0"/>
          <w:numId w:val="6"/>
        </w:numPr>
        <w:spacing w:after="120"/>
        <w:jc w:val="both"/>
        <w:rPr>
          <w:rFonts w:asciiTheme="majorHAnsi" w:hAnsiTheme="majorHAnsi"/>
          <w:sz w:val="22"/>
          <w:szCs w:val="22"/>
        </w:rPr>
      </w:pPr>
      <w:r w:rsidRPr="008517C6">
        <w:rPr>
          <w:rFonts w:asciiTheme="majorHAnsi" w:hAnsiTheme="majorHAnsi"/>
          <w:sz w:val="22"/>
          <w:szCs w:val="22"/>
        </w:rPr>
        <w:t>Proceso docente con énfasis en el aprendizaje, con protagonismo de los educandos y cambio de roles de los profesores, que asumen una función paradigmática como modelo profesional a reproducir y una función de organizador y facilitador de este proceso, donde el alumno debe adquirir progresivamente la capacidad de aprender por sí mismo en forma permanente, durante toda su vida profesional, así como la  de acceder y seleccionar críticamente la información científica disponible.</w:t>
      </w:r>
    </w:p>
    <w:p w:rsidR="00B76E28" w:rsidRPr="008517C6" w:rsidRDefault="00B76E28" w:rsidP="00627C38">
      <w:pPr>
        <w:spacing w:after="120"/>
        <w:jc w:val="both"/>
        <w:rPr>
          <w:rFonts w:asciiTheme="majorHAnsi" w:hAnsiTheme="majorHAnsi" w:cs="Arial"/>
          <w:b/>
          <w:sz w:val="22"/>
          <w:szCs w:val="22"/>
        </w:rPr>
      </w:pPr>
      <w:r w:rsidRPr="008517C6">
        <w:rPr>
          <w:rFonts w:asciiTheme="majorHAnsi" w:hAnsiTheme="majorHAnsi" w:cs="Arial"/>
          <w:b/>
          <w:sz w:val="22"/>
          <w:szCs w:val="22"/>
        </w:rPr>
        <w:t>Marco político normativo.</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 xml:space="preserve">Las disposiciones legales y la política de salud pública del país no pueden ser ignoradas por los diseñadores de currículos para la formación de profesionales en el campo de la salud.    </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La política general de la academia y las políticas de salud, en función de la formación que se aspira dar a sus alumnos, definirán las características fundamentales que se desean en los futuros graduados, así como las funciones que deberán desempeñar en dependencia de las necesidades y recursos de la sociedad y de los alumnos.</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 xml:space="preserve">La educación superior en Cuba está regida metodológicamente por las normas y reglamentaciones del Ministerio de Educación Superior, como Organismo Central del Estado encargado para la formación y superación de profesionales. En este sentido se han emitido reglamentaciones que regulan los aspectos relacionados con la formación profesional de recursos humanos a través de </w:t>
      </w:r>
      <w:smartTag w:uri="urn:schemas-microsoft-com:office:smarttags" w:element="PersonName">
        <w:smartTagPr>
          <w:attr w:name="ProductID" w:val="la Resoluci￳n"/>
        </w:smartTagPr>
        <w:r w:rsidRPr="008517C6">
          <w:rPr>
            <w:rFonts w:asciiTheme="majorHAnsi" w:hAnsiTheme="majorHAnsi" w:cs="Arial"/>
            <w:sz w:val="22"/>
            <w:szCs w:val="22"/>
          </w:rPr>
          <w:t>la Resolución</w:t>
        </w:r>
      </w:smartTag>
      <w:r w:rsidRPr="008517C6">
        <w:rPr>
          <w:rFonts w:asciiTheme="majorHAnsi" w:hAnsiTheme="majorHAnsi" w:cs="Arial"/>
          <w:sz w:val="22"/>
          <w:szCs w:val="22"/>
        </w:rPr>
        <w:t xml:space="preserve"> 210 del 2007, lo que unido a las indicaciones del Ministerio de Salud Pública como organismo formador, constituyen el cuerpo legal que regula este proceso en las universidades de ciencias médicas.</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De manera particular, para la presente carrera un  aspecto muy importante es el referido a la legislación  vigente para instalaciones en las que se manipulan agentes biológicos, así como la referente a la protección del medio ambiente en general; entre otras, en Cuba se cuenta con:</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 xml:space="preserve">Decreto-Ley Nº 190 de 28 de enero de 1999 (De la seguridad biológica). </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 xml:space="preserve">Resolución Nº 103 de 3 de octubre de 2002 del Ministerio de Ciencia, Tecnología y Medio Ambiente (Reglamento para el establecimiento de los requisitos y procedimientos de seguridad biológica en instalaciones en las que se hace uso de agentes biológicos y sus productos, organismos y fragmentos de éstos con información genética). </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 xml:space="preserve">Resolución Nº 76 de 30 de junio de 2000 del Ministerio de Ciencia, Tecnología y Medio Ambiente (Reglamento para el otorgamiento de las autorizaciones de seguridad biológica). </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 xml:space="preserve">Resolución Nº 38 de 2006 del Ministerio de Ciencia, Tecnología y Medio Ambiente (Lista oficial de agentes biológicos que afectan al hombre, animales y plantas). </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 xml:space="preserve">Resolución Nº 8 de 17 de enero de 2000 (Reglamento general de seguridad biológica para las instalaciones en que se manipulan agentes biológicos y sus productos, organismos y fragmentos de éstos con in-formación genética). </w:t>
      </w:r>
    </w:p>
    <w:p w:rsidR="00B76E28" w:rsidRPr="008517C6" w:rsidRDefault="00B76E28" w:rsidP="008517C6">
      <w:pPr>
        <w:autoSpaceDE w:val="0"/>
        <w:autoSpaceDN w:val="0"/>
        <w:adjustRightInd w:val="0"/>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Las normas que se mencionan a continuación son indispensables para garantizar la calidad del trabajo realizado en los laboratorios de Biomedicina en Cuba:</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lastRenderedPageBreak/>
        <w:t xml:space="preserve">Norma ISO 15189:2004 Esta norma especifica los requisitos particulares para la calidad y la competencia de los laboratorios clínicos. </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Regulación No.3-1995 del CECMED “Buenas Prácticas de Laboratorio Clínico”</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Guía ISO 31 Cantidades y unidades</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ISO/IEC Guía 43-1  Ensayos de aptitud por comparaciones interlaboratoriales.</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ISO/IEC 17025 Requisitos generales para la competencia de los laboratorios de calibración y ensayo</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ISO 9000 Sistemas de Gestión de Calidad Fundamentos y vocabulario</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ISO 9001 Sistemas de Gestión de Calidad. Requisitos</w:t>
      </w:r>
    </w:p>
    <w:p w:rsidR="00B76E28" w:rsidRPr="008517C6" w:rsidRDefault="00B76E28" w:rsidP="008517C6">
      <w:pPr>
        <w:numPr>
          <w:ilvl w:val="0"/>
          <w:numId w:val="10"/>
        </w:numPr>
        <w:autoSpaceDE w:val="0"/>
        <w:autoSpaceDN w:val="0"/>
        <w:adjustRightInd w:val="0"/>
        <w:spacing w:after="120"/>
        <w:jc w:val="both"/>
        <w:rPr>
          <w:rFonts w:asciiTheme="majorHAnsi" w:hAnsiTheme="majorHAnsi" w:cs="Arial"/>
          <w:sz w:val="22"/>
          <w:szCs w:val="22"/>
        </w:rPr>
      </w:pPr>
      <w:r w:rsidRPr="008517C6">
        <w:rPr>
          <w:rFonts w:asciiTheme="majorHAnsi" w:hAnsiTheme="majorHAnsi" w:cs="Arial"/>
          <w:sz w:val="22"/>
          <w:szCs w:val="22"/>
        </w:rPr>
        <w:t>Vocabulario Internacional de términos básicos en metrología (VIM)</w:t>
      </w:r>
    </w:p>
    <w:p w:rsidR="00B76E28" w:rsidRPr="008517C6" w:rsidRDefault="00B76E28" w:rsidP="008517C6">
      <w:pPr>
        <w:spacing w:after="120"/>
        <w:jc w:val="both"/>
        <w:outlineLvl w:val="0"/>
        <w:rPr>
          <w:rFonts w:asciiTheme="majorHAnsi" w:hAnsiTheme="majorHAnsi" w:cs="Arial"/>
          <w:b/>
          <w:sz w:val="22"/>
          <w:szCs w:val="22"/>
        </w:rPr>
      </w:pPr>
      <w:r w:rsidRPr="008517C6">
        <w:rPr>
          <w:rFonts w:asciiTheme="majorHAnsi" w:hAnsiTheme="majorHAnsi" w:cs="Arial"/>
          <w:b/>
          <w:sz w:val="22"/>
          <w:szCs w:val="22"/>
        </w:rPr>
        <w:t xml:space="preserve">Recursos humanos y materiales requeridos. </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 xml:space="preserve">En los laboratorios de biomedicina el equipamiento es común para los procederes a desarrollar, y existen las condiciones para la formación de profesionales en estas áreas. </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Los módulos de equipamiento incluyen:</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 xml:space="preserve">Materiales de laboratorio para la obtención de muestras biológicas. </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de amplificación de imágenes.</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de separación.</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y soluciones para garantizar la esterilización de materiales.</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electrópticos de lectura.</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para garantizar la informatización.</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auxiliares termostatizados y de climatización.</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Equipos para medir períodos de tiempo.</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Reactivos clínicos y productos químicos diversos</w:t>
      </w:r>
    </w:p>
    <w:p w:rsidR="00B76E28" w:rsidRPr="008517C6" w:rsidRDefault="00B76E28" w:rsidP="008517C6">
      <w:pPr>
        <w:numPr>
          <w:ilvl w:val="1"/>
          <w:numId w:val="2"/>
        </w:numPr>
        <w:spacing w:after="120"/>
        <w:jc w:val="both"/>
        <w:rPr>
          <w:rFonts w:asciiTheme="majorHAnsi" w:hAnsiTheme="majorHAnsi" w:cs="Arial"/>
          <w:sz w:val="22"/>
          <w:szCs w:val="22"/>
        </w:rPr>
      </w:pPr>
      <w:r w:rsidRPr="008517C6">
        <w:rPr>
          <w:rFonts w:asciiTheme="majorHAnsi" w:hAnsiTheme="majorHAnsi" w:cs="Arial"/>
          <w:sz w:val="22"/>
          <w:szCs w:val="22"/>
        </w:rPr>
        <w:t>Otros.</w:t>
      </w:r>
    </w:p>
    <w:p w:rsidR="00B76E28" w:rsidRPr="002C75A4" w:rsidRDefault="00B76E28" w:rsidP="002C75A4">
      <w:pPr>
        <w:spacing w:after="120"/>
        <w:jc w:val="both"/>
        <w:rPr>
          <w:rFonts w:asciiTheme="majorHAnsi" w:hAnsiTheme="majorHAnsi" w:cs="Arial"/>
          <w:sz w:val="22"/>
          <w:szCs w:val="22"/>
        </w:rPr>
      </w:pPr>
      <w:r w:rsidRPr="008517C6">
        <w:rPr>
          <w:rFonts w:asciiTheme="majorHAnsi" w:hAnsiTheme="majorHAnsi" w:cs="Arial"/>
          <w:sz w:val="22"/>
          <w:szCs w:val="22"/>
        </w:rPr>
        <w:t xml:space="preserve">Para garantizar la impartición teórico práctica de los contenidos de la carrera, se debe contar con personal profesional categorizado en todos los escenarios propuestos del país, que ejerza la función de tutores o facilitadores docentes que permitan la realización de la educación en el trabajo. También es necesario disponer de libros de texto que aborden los contenidos propios de la carrera, de otras fuentes de información actualizadas y de otros medios de enseñanza. </w:t>
      </w:r>
    </w:p>
    <w:p w:rsidR="00B76E28" w:rsidRPr="008517C6" w:rsidRDefault="00B76E28" w:rsidP="00627C38">
      <w:pPr>
        <w:spacing w:after="120"/>
        <w:jc w:val="both"/>
        <w:rPr>
          <w:rFonts w:asciiTheme="majorHAnsi" w:hAnsiTheme="majorHAnsi" w:cs="Arial"/>
          <w:b/>
          <w:sz w:val="22"/>
          <w:szCs w:val="22"/>
        </w:rPr>
      </w:pPr>
      <w:r w:rsidRPr="008517C6">
        <w:rPr>
          <w:rFonts w:asciiTheme="majorHAnsi" w:hAnsiTheme="majorHAnsi" w:cs="Arial"/>
          <w:b/>
          <w:sz w:val="22"/>
          <w:szCs w:val="22"/>
        </w:rPr>
        <w:t>Caracterización de la profesión.</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El licenciado en Bioanálisis Clínico tiene un amplio campo de ejercicio profesional, capacitado para desempeñarse como miembro del equipo multidisciplinario de salud, en los tres niveles de atención del Sistema Nacional de Salud, contribuyendo mediante los análisis de muestras biológicas, al mantenimiento del estado de salud de la población, así como al diagnóstico, prevención, control y tratamiento de las enfermedades; fundamentado en la investigación científica.</w:t>
      </w:r>
    </w:p>
    <w:p w:rsidR="00B76E28" w:rsidRPr="008517C6" w:rsidRDefault="00B76E28" w:rsidP="008517C6">
      <w:pPr>
        <w:spacing w:after="120"/>
        <w:jc w:val="both"/>
        <w:outlineLvl w:val="0"/>
        <w:rPr>
          <w:rFonts w:asciiTheme="majorHAnsi" w:hAnsiTheme="majorHAnsi" w:cs="Arial"/>
          <w:sz w:val="22"/>
          <w:szCs w:val="22"/>
        </w:rPr>
      </w:pPr>
      <w:r w:rsidRPr="008517C6">
        <w:rPr>
          <w:rFonts w:asciiTheme="majorHAnsi" w:hAnsiTheme="majorHAnsi" w:cs="Arial"/>
          <w:sz w:val="22"/>
          <w:szCs w:val="22"/>
        </w:rPr>
        <w:t xml:space="preserve">Este profesional se prepara para asumir el proceso tecnológico de muestras obtenidas del organismo humano y el ambiente, con el objetivo de demostrar las alteraciones fisiológicas y morfológicas que presentan, tanto en el aspecto macroscópico como microscópico, aplicando </w:t>
      </w:r>
      <w:r w:rsidRPr="008517C6">
        <w:rPr>
          <w:rFonts w:asciiTheme="majorHAnsi" w:hAnsiTheme="majorHAnsi" w:cs="Arial"/>
          <w:sz w:val="22"/>
          <w:szCs w:val="22"/>
        </w:rPr>
        <w:lastRenderedPageBreak/>
        <w:t>métodos convencionales y de avanzada, lo que permite su desempeño también en instituciones científicas del sector de la salud u otros organismos afines.</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 xml:space="preserve">Debe tener la necesaria vocación y ética profesional, valores morales y humanos que le permitan interactuar con el equipo de salud, el colectivo de trabajo, los pacientes, la familia y la comunidad. Un profesional con actitud socio-humanista, con ideas creadoras, que mantenga actualizados sus conocimientos acordes con los avances de la  tecnología, capaz de desempeñar funciones docentes e investigativas y técnico-administrativas, asumiendo con responsabilidad y destreza nuevas y más complejas funciones. </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Problemas profesionales a resolver por el egresado.</w:t>
      </w:r>
    </w:p>
    <w:p w:rsidR="00B76E28" w:rsidRPr="008517C6" w:rsidRDefault="00B76E28" w:rsidP="008517C6">
      <w:pPr>
        <w:numPr>
          <w:ilvl w:val="1"/>
          <w:numId w:val="1"/>
        </w:numPr>
        <w:spacing w:after="120"/>
        <w:jc w:val="both"/>
        <w:rPr>
          <w:rFonts w:asciiTheme="majorHAnsi" w:hAnsiTheme="majorHAnsi" w:cs="Arial"/>
          <w:sz w:val="22"/>
          <w:szCs w:val="22"/>
        </w:rPr>
      </w:pPr>
      <w:r w:rsidRPr="008517C6">
        <w:rPr>
          <w:rFonts w:asciiTheme="majorHAnsi" w:hAnsiTheme="majorHAnsi" w:cs="Arial"/>
          <w:sz w:val="22"/>
          <w:szCs w:val="22"/>
        </w:rPr>
        <w:t>Procesamiento tecnológico de las muestras humanas y ambientales aplicando tecnologías convencionales y de avanzada para la evaluación del proceso salud enfermedad en los laboratorios de biomedicina en condiciones normales y de contingencias</w:t>
      </w:r>
    </w:p>
    <w:p w:rsidR="00B76E28" w:rsidRPr="008517C6" w:rsidRDefault="00B76E28" w:rsidP="008517C6">
      <w:pPr>
        <w:numPr>
          <w:ilvl w:val="1"/>
          <w:numId w:val="1"/>
        </w:numPr>
        <w:tabs>
          <w:tab w:val="num" w:pos="993"/>
        </w:tabs>
        <w:spacing w:after="120"/>
        <w:jc w:val="both"/>
        <w:rPr>
          <w:rFonts w:asciiTheme="majorHAnsi" w:hAnsiTheme="majorHAnsi" w:cs="Arial"/>
          <w:sz w:val="22"/>
          <w:szCs w:val="22"/>
        </w:rPr>
      </w:pPr>
      <w:r w:rsidRPr="008517C6">
        <w:rPr>
          <w:rFonts w:asciiTheme="majorHAnsi" w:hAnsiTheme="majorHAnsi" w:cs="Arial"/>
          <w:sz w:val="22"/>
          <w:szCs w:val="22"/>
        </w:rPr>
        <w:t xml:space="preserve">Producción de bioderivados y reactivos biológicos para  procederes   diagnósticos, terapéuticos e investigativos. </w:t>
      </w:r>
    </w:p>
    <w:p w:rsidR="00B76E28" w:rsidRPr="008517C6" w:rsidRDefault="00B76E28" w:rsidP="008517C6">
      <w:pPr>
        <w:numPr>
          <w:ilvl w:val="1"/>
          <w:numId w:val="1"/>
        </w:numPr>
        <w:spacing w:after="120"/>
        <w:jc w:val="both"/>
        <w:rPr>
          <w:rFonts w:asciiTheme="majorHAnsi" w:hAnsiTheme="majorHAnsi" w:cs="Arial"/>
          <w:sz w:val="22"/>
          <w:szCs w:val="22"/>
        </w:rPr>
      </w:pPr>
      <w:r w:rsidRPr="008517C6">
        <w:rPr>
          <w:rFonts w:asciiTheme="majorHAnsi" w:hAnsiTheme="majorHAnsi" w:cs="Arial"/>
          <w:sz w:val="22"/>
          <w:szCs w:val="22"/>
        </w:rPr>
        <w:t>Los sistemas de gestión de calidad que garanticen el cumplimiento de las normas de bioseguridad y el mejoramiento continuo de los procederes realizados.</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Objeto de trabajo.</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 xml:space="preserve">Los métodos convencionales y de avanzada empleados para la evaluación del proceso salud enfermedad en el laboratorio, la producción de reactivos biológicos y la realización de procederes terapéuticos. </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Modos de actuación.</w:t>
      </w:r>
    </w:p>
    <w:p w:rsidR="00B76E28" w:rsidRPr="008517C6" w:rsidRDefault="00B76E28" w:rsidP="008517C6">
      <w:pPr>
        <w:numPr>
          <w:ilvl w:val="0"/>
          <w:numId w:val="8"/>
        </w:numPr>
        <w:spacing w:after="120"/>
        <w:jc w:val="both"/>
        <w:rPr>
          <w:rFonts w:asciiTheme="majorHAnsi" w:hAnsiTheme="majorHAnsi" w:cs="Arial"/>
          <w:b/>
          <w:sz w:val="22"/>
          <w:szCs w:val="22"/>
        </w:rPr>
      </w:pPr>
      <w:r w:rsidRPr="008517C6">
        <w:rPr>
          <w:rFonts w:asciiTheme="majorHAnsi" w:hAnsiTheme="majorHAnsi" w:cs="Arial"/>
          <w:sz w:val="22"/>
          <w:szCs w:val="22"/>
        </w:rPr>
        <w:t xml:space="preserve">Evaluar procesos tecnológicos de laboratorio para el diagnóstico y tratamiento de las enfermedades humanas y la producción de bioderivados. </w:t>
      </w:r>
    </w:p>
    <w:p w:rsidR="00B76E28" w:rsidRPr="008517C6" w:rsidRDefault="00B76E28" w:rsidP="008517C6">
      <w:pPr>
        <w:numPr>
          <w:ilvl w:val="0"/>
          <w:numId w:val="8"/>
        </w:numPr>
        <w:spacing w:after="120"/>
        <w:jc w:val="both"/>
        <w:rPr>
          <w:rStyle w:val="Textoennegrita"/>
          <w:rFonts w:asciiTheme="majorHAnsi" w:hAnsiTheme="majorHAnsi" w:cs="Arial"/>
          <w:bCs w:val="0"/>
          <w:sz w:val="22"/>
          <w:szCs w:val="22"/>
        </w:rPr>
      </w:pPr>
      <w:r w:rsidRPr="008517C6">
        <w:rPr>
          <w:rStyle w:val="Textoennegrita"/>
          <w:rFonts w:asciiTheme="majorHAnsi" w:hAnsiTheme="majorHAnsi" w:cs="Arial"/>
          <w:b w:val="0"/>
          <w:sz w:val="22"/>
          <w:szCs w:val="22"/>
        </w:rPr>
        <w:t xml:space="preserve">Investigar  en el campo </w:t>
      </w:r>
      <w:r w:rsidRPr="008517C6">
        <w:rPr>
          <w:rFonts w:asciiTheme="majorHAnsi" w:hAnsiTheme="majorHAnsi" w:cs="Arial"/>
          <w:sz w:val="22"/>
          <w:szCs w:val="22"/>
        </w:rPr>
        <w:t>de las tecnologías para el diagnóstico de laboratorio y la producción de bioderivados, utilizando métodos científicos.</w:t>
      </w:r>
      <w:r w:rsidRPr="008517C6">
        <w:rPr>
          <w:rStyle w:val="Textoennegrita"/>
          <w:rFonts w:asciiTheme="majorHAnsi" w:hAnsiTheme="majorHAnsi" w:cs="Arial"/>
          <w:b w:val="0"/>
          <w:sz w:val="22"/>
          <w:szCs w:val="22"/>
        </w:rPr>
        <w:t xml:space="preserve"> </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Campos de acción.</w:t>
      </w:r>
    </w:p>
    <w:p w:rsidR="00B76E28" w:rsidRPr="008517C6" w:rsidRDefault="00B76E28" w:rsidP="008517C6">
      <w:p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El graduado, acorde a las normas técnicas y metodológicas  establecidas, en los  escenarios laborales que le corresponda,  debe ser capaz de  dominar los contenidos correspondientes a las ramas del saber siguientes:</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Bioseguridad</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Biología celular y molecular</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Morfofisiología humana</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Inmunología</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Semiología clínica</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Microbiología y parasitología médicas</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Citología e histopatología</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Bioquímica clínica</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Inmunohematología y hemoterapia</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 xml:space="preserve">Neurofisiología clínica </w:t>
      </w:r>
    </w:p>
    <w:p w:rsidR="00B76E28" w:rsidRPr="008517C6" w:rsidRDefault="00B76E28" w:rsidP="008517C6">
      <w:pPr>
        <w:numPr>
          <w:ilvl w:val="2"/>
          <w:numId w:val="4"/>
        </w:numPr>
        <w:spacing w:after="120"/>
        <w:jc w:val="both"/>
        <w:rPr>
          <w:rFonts w:asciiTheme="majorHAnsi" w:hAnsiTheme="majorHAnsi" w:cs="Arial"/>
          <w:sz w:val="22"/>
          <w:szCs w:val="22"/>
          <w:lang w:val="es-ES_tradnl"/>
        </w:rPr>
      </w:pPr>
      <w:r w:rsidRPr="008517C6">
        <w:rPr>
          <w:rFonts w:asciiTheme="majorHAnsi" w:hAnsiTheme="majorHAnsi" w:cs="Arial"/>
          <w:sz w:val="22"/>
          <w:szCs w:val="22"/>
          <w:lang w:val="es-ES_tradnl"/>
        </w:rPr>
        <w:t xml:space="preserve">Farmacología </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lastRenderedPageBreak/>
        <w:t>Esferas de actuación.</w:t>
      </w:r>
    </w:p>
    <w:p w:rsidR="00B76E28" w:rsidRPr="008517C6" w:rsidRDefault="00B76E28" w:rsidP="00627C38">
      <w:pPr>
        <w:spacing w:after="120"/>
        <w:jc w:val="both"/>
        <w:rPr>
          <w:rFonts w:asciiTheme="majorHAnsi" w:hAnsiTheme="majorHAnsi" w:cs="Arial"/>
          <w:sz w:val="22"/>
          <w:szCs w:val="22"/>
        </w:rPr>
      </w:pPr>
      <w:r w:rsidRPr="008517C6">
        <w:rPr>
          <w:rFonts w:asciiTheme="majorHAnsi" w:hAnsiTheme="majorHAnsi" w:cs="Arial"/>
          <w:sz w:val="22"/>
          <w:szCs w:val="22"/>
        </w:rPr>
        <w:t>Podrá desempeñarse en los tres niveles del Sistema Nacional de Salud y otras instancias asistenciales, docentes e investigativas, formando parte de equipos multidisciplinarios de trabajo, cumpliendo funciones según sus competencias.</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Puestos de trabajo a desempeñar:</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Clínico</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de Microbiología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Laboratorios sanitarios</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de Inmunohematología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de Citología.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de Toxicología.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de Citogenética.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 xml:space="preserve">Laboratorio de Criopreservación </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Laboratorio de Inmunología.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Servicios de Banco de sangre.</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Servicios de Transfusionología.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Centros de extracción de sangre.</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 xml:space="preserve">Centros de experimentación animal. </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Centros para la producción de hemoclasificadores, hemocomponentes, hemoderivados y de  extractos alergénicos.</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 de Aféresis terapéutica.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 de alergología.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 de Histopatología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 de Medicina legal, o Laboratorio forense.</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 de aseguramiento de calidad.</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Departamentos de pruebas fisiológicas.</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Departamento de Neurofisiología.</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 xml:space="preserve">Institutos y Centros  de  Investigación. </w:t>
      </w:r>
    </w:p>
    <w:p w:rsidR="00B76E28" w:rsidRPr="008517C6" w:rsidRDefault="00B76E28" w:rsidP="008517C6">
      <w:pPr>
        <w:pStyle w:val="Textoindependiente2"/>
        <w:numPr>
          <w:ilvl w:val="1"/>
          <w:numId w:val="5"/>
        </w:numPr>
        <w:spacing w:line="240" w:lineRule="auto"/>
        <w:jc w:val="both"/>
        <w:rPr>
          <w:rFonts w:asciiTheme="majorHAnsi" w:hAnsiTheme="majorHAnsi" w:cs="Arial"/>
          <w:sz w:val="22"/>
          <w:szCs w:val="22"/>
        </w:rPr>
      </w:pPr>
      <w:r w:rsidRPr="008517C6">
        <w:rPr>
          <w:rFonts w:asciiTheme="majorHAnsi" w:hAnsiTheme="majorHAnsi" w:cs="Arial"/>
          <w:sz w:val="22"/>
          <w:szCs w:val="22"/>
        </w:rPr>
        <w:t>Instituciones docentes afines con su perfil de formación.</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O</w:t>
      </w:r>
      <w:r w:rsidR="001924BE">
        <w:rPr>
          <w:rFonts w:asciiTheme="majorHAnsi" w:hAnsiTheme="majorHAnsi" w:cs="Arial"/>
          <w:b/>
          <w:sz w:val="22"/>
          <w:szCs w:val="22"/>
        </w:rPr>
        <w:t>b</w:t>
      </w:r>
      <w:r w:rsidRPr="008517C6">
        <w:rPr>
          <w:rFonts w:asciiTheme="majorHAnsi" w:hAnsiTheme="majorHAnsi" w:cs="Arial"/>
          <w:b/>
          <w:sz w:val="22"/>
          <w:szCs w:val="22"/>
        </w:rPr>
        <w:t>jetivo general de la carrera.</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El egresado de esta profesión será capaz de:</w:t>
      </w:r>
    </w:p>
    <w:p w:rsidR="00B76E28" w:rsidRPr="008517C6" w:rsidRDefault="00B76E28" w:rsidP="008517C6">
      <w:pPr>
        <w:numPr>
          <w:ilvl w:val="0"/>
          <w:numId w:val="3"/>
        </w:numPr>
        <w:spacing w:after="120"/>
        <w:jc w:val="both"/>
        <w:rPr>
          <w:rFonts w:asciiTheme="majorHAnsi" w:hAnsiTheme="majorHAnsi" w:cs="Arial"/>
          <w:sz w:val="22"/>
          <w:szCs w:val="22"/>
        </w:rPr>
      </w:pPr>
      <w:r w:rsidRPr="008517C6">
        <w:rPr>
          <w:rFonts w:asciiTheme="majorHAnsi" w:hAnsiTheme="majorHAnsi" w:cs="Arial"/>
          <w:sz w:val="22"/>
          <w:szCs w:val="22"/>
        </w:rPr>
        <w:t>Aplicar las tecnologías convencionales y de avanzada para el diagnóstico de laboratorio, el aseguramiento transfusional y la producción de bioderivados,   con alto sentido de honestidad, responsabilidad y elevado compromiso social y político, tomando en consideración la protección medioambiental, los aspectos económicos y de la defensa nacional, utilizando métodos científicos de trabajo con un enfoque lógico y dialéctico.</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rPr>
        <w:t>Para cumplir este objetivo, el egresado deberá mostrar el dominio de las habilidades profesionales siguientes:</w:t>
      </w:r>
    </w:p>
    <w:p w:rsidR="00B76E28" w:rsidRPr="008517C6" w:rsidRDefault="00B76E28" w:rsidP="008517C6">
      <w:pPr>
        <w:numPr>
          <w:ilvl w:val="0"/>
          <w:numId w:val="3"/>
        </w:numPr>
        <w:spacing w:after="120"/>
        <w:jc w:val="both"/>
        <w:rPr>
          <w:rFonts w:asciiTheme="majorHAnsi" w:hAnsiTheme="majorHAnsi" w:cs="Arial"/>
          <w:sz w:val="22"/>
          <w:szCs w:val="22"/>
        </w:rPr>
      </w:pPr>
      <w:r w:rsidRPr="008517C6">
        <w:rPr>
          <w:rFonts w:asciiTheme="majorHAnsi" w:hAnsiTheme="majorHAnsi" w:cs="Arial"/>
          <w:sz w:val="22"/>
          <w:szCs w:val="22"/>
        </w:rPr>
        <w:lastRenderedPageBreak/>
        <w:t>Aplicar las tecnologías convencionales y de avanzada para el análisis</w:t>
      </w:r>
      <w:r w:rsidRPr="008517C6">
        <w:rPr>
          <w:rFonts w:asciiTheme="majorHAnsi" w:hAnsiTheme="majorHAnsi" w:cs="Arial"/>
          <w:b/>
          <w:bCs/>
          <w:sz w:val="22"/>
          <w:szCs w:val="22"/>
          <w:lang w:val="es-ES_tradnl"/>
        </w:rPr>
        <w:t xml:space="preserve"> </w:t>
      </w:r>
      <w:r w:rsidRPr="008517C6">
        <w:rPr>
          <w:rFonts w:asciiTheme="majorHAnsi" w:hAnsiTheme="majorHAnsi" w:cs="Arial"/>
          <w:sz w:val="22"/>
          <w:szCs w:val="22"/>
        </w:rPr>
        <w:t xml:space="preserve">del proceso salud-enfermedad y la conservación y procesamiento de órganos y  tejidos para el trasplante en situaciones reales y modeladas, con un alto sentido de la responsabilidad y la ética, mostrándose  solidario con el individuo y su familia. </w:t>
      </w:r>
    </w:p>
    <w:p w:rsidR="00B76E28" w:rsidRPr="008517C6" w:rsidRDefault="00B76E28" w:rsidP="008517C6">
      <w:pPr>
        <w:numPr>
          <w:ilvl w:val="0"/>
          <w:numId w:val="3"/>
        </w:numPr>
        <w:spacing w:after="120"/>
        <w:jc w:val="both"/>
        <w:rPr>
          <w:rFonts w:asciiTheme="majorHAnsi" w:hAnsiTheme="majorHAnsi" w:cs="Arial"/>
          <w:sz w:val="22"/>
          <w:szCs w:val="22"/>
        </w:rPr>
      </w:pPr>
      <w:r w:rsidRPr="008517C6">
        <w:rPr>
          <w:rFonts w:asciiTheme="majorHAnsi" w:hAnsiTheme="majorHAnsi" w:cs="Arial"/>
          <w:sz w:val="22"/>
          <w:szCs w:val="22"/>
        </w:rPr>
        <w:t>Interpretar los fundamentos de los métodos convencionales y de avanzada empleados para la evaluación del proceso salud-enfermedad en el laboratorio, con un enfoque morfofuncional integral.</w:t>
      </w:r>
    </w:p>
    <w:p w:rsidR="00B76E28" w:rsidRPr="008517C6" w:rsidRDefault="00B76E28" w:rsidP="008517C6">
      <w:pPr>
        <w:numPr>
          <w:ilvl w:val="0"/>
          <w:numId w:val="3"/>
        </w:numPr>
        <w:spacing w:after="120"/>
        <w:jc w:val="both"/>
        <w:rPr>
          <w:rFonts w:asciiTheme="majorHAnsi" w:hAnsiTheme="majorHAnsi" w:cs="Arial"/>
          <w:sz w:val="22"/>
          <w:szCs w:val="22"/>
        </w:rPr>
      </w:pPr>
      <w:r w:rsidRPr="008517C6">
        <w:rPr>
          <w:rFonts w:asciiTheme="majorHAnsi" w:hAnsiTheme="majorHAnsi" w:cs="Arial"/>
          <w:sz w:val="22"/>
          <w:szCs w:val="22"/>
        </w:rPr>
        <w:t>Producir bioderivados y reactivos biológicos, a pequeña y gran escala, para procederes diagnósticos, terapéuticos y con fines investigativos con un enfoque racional y una actitud honesta y responsable.</w:t>
      </w:r>
    </w:p>
    <w:p w:rsidR="00B76E28" w:rsidRPr="008517C6" w:rsidRDefault="00B76E28" w:rsidP="008517C6">
      <w:pPr>
        <w:numPr>
          <w:ilvl w:val="0"/>
          <w:numId w:val="3"/>
        </w:numPr>
        <w:spacing w:after="120"/>
        <w:jc w:val="both"/>
        <w:outlineLvl w:val="0"/>
        <w:rPr>
          <w:rFonts w:asciiTheme="majorHAnsi" w:hAnsiTheme="majorHAnsi" w:cs="Arial"/>
          <w:sz w:val="22"/>
          <w:szCs w:val="22"/>
        </w:rPr>
      </w:pPr>
      <w:r w:rsidRPr="008517C6">
        <w:rPr>
          <w:rFonts w:asciiTheme="majorHAnsi" w:hAnsiTheme="majorHAnsi" w:cs="Arial"/>
          <w:sz w:val="22"/>
          <w:szCs w:val="22"/>
        </w:rPr>
        <w:t>Evaluar la calidad de los procesos tecnológicos ejecutados en los laboratorios biomédicos, para la mejora continua del diagnóstico de las enfermedades humanas  con justeza y responsabilidad.</w:t>
      </w:r>
    </w:p>
    <w:p w:rsidR="00B76E28" w:rsidRPr="008517C6" w:rsidRDefault="00B76E28" w:rsidP="008517C6">
      <w:pPr>
        <w:numPr>
          <w:ilvl w:val="0"/>
          <w:numId w:val="3"/>
        </w:numPr>
        <w:spacing w:after="120"/>
        <w:jc w:val="both"/>
        <w:outlineLvl w:val="0"/>
        <w:rPr>
          <w:rFonts w:asciiTheme="majorHAnsi" w:hAnsiTheme="majorHAnsi" w:cs="Arial"/>
          <w:sz w:val="22"/>
          <w:szCs w:val="22"/>
        </w:rPr>
      </w:pPr>
      <w:r w:rsidRPr="008517C6">
        <w:rPr>
          <w:rFonts w:asciiTheme="majorHAnsi" w:hAnsiTheme="majorHAnsi" w:cs="Arial"/>
          <w:sz w:val="22"/>
          <w:szCs w:val="22"/>
        </w:rPr>
        <w:t>Realizar acciones que propicien su independencia cognoscitiva y el desarrollo de habilidades pedagógicas para la formación y capacitación de recursos humanos en su área de desempeño.</w:t>
      </w:r>
    </w:p>
    <w:p w:rsidR="00B76E28" w:rsidRPr="008517C6" w:rsidRDefault="00B76E28" w:rsidP="008517C6">
      <w:pPr>
        <w:numPr>
          <w:ilvl w:val="0"/>
          <w:numId w:val="3"/>
        </w:numPr>
        <w:spacing w:after="120"/>
        <w:jc w:val="both"/>
        <w:rPr>
          <w:rFonts w:asciiTheme="majorHAnsi" w:hAnsiTheme="majorHAnsi" w:cs="Arial"/>
          <w:sz w:val="22"/>
          <w:szCs w:val="22"/>
        </w:rPr>
      </w:pPr>
      <w:r w:rsidRPr="008517C6">
        <w:rPr>
          <w:rFonts w:asciiTheme="majorHAnsi" w:hAnsiTheme="majorHAnsi" w:cs="Arial"/>
          <w:sz w:val="22"/>
          <w:szCs w:val="22"/>
        </w:rPr>
        <w:t>Administrar procesos tecnológicos,  recursos humanos, materiales y financieros según las políticas y normativas del Estado para la instancia en que se desempeñan con alto nivel de racionalidad y responsabilidad.</w:t>
      </w:r>
    </w:p>
    <w:p w:rsidR="00B76E28" w:rsidRPr="008517C6" w:rsidRDefault="00B76E28" w:rsidP="008517C6">
      <w:pPr>
        <w:numPr>
          <w:ilvl w:val="0"/>
          <w:numId w:val="3"/>
        </w:numPr>
        <w:spacing w:after="120"/>
        <w:jc w:val="both"/>
        <w:rPr>
          <w:rFonts w:asciiTheme="majorHAnsi" w:hAnsiTheme="majorHAnsi" w:cs="Arial"/>
          <w:sz w:val="22"/>
          <w:szCs w:val="22"/>
        </w:rPr>
      </w:pPr>
      <w:r w:rsidRPr="008517C6">
        <w:rPr>
          <w:rFonts w:asciiTheme="majorHAnsi" w:hAnsiTheme="majorHAnsi" w:cs="Arial"/>
          <w:sz w:val="22"/>
          <w:szCs w:val="22"/>
        </w:rPr>
        <w:t>Aplicar el método científico a las problemáticas que se le presenten en el desempeño de sus funciones, para el perfeccionamiento de los procesos en que participa en correspondencia con los principios de la ética que caracteriza a los profesionales de la salud.</w:t>
      </w:r>
    </w:p>
    <w:p w:rsidR="00B76E28" w:rsidRPr="008517C6" w:rsidRDefault="00B76E28" w:rsidP="008517C6">
      <w:pPr>
        <w:pStyle w:val="NormalWeb"/>
        <w:numPr>
          <w:ilvl w:val="0"/>
          <w:numId w:val="3"/>
        </w:numPr>
        <w:spacing w:before="0" w:beforeAutospacing="0" w:after="120" w:afterAutospacing="0"/>
        <w:ind w:right="-136"/>
        <w:jc w:val="both"/>
        <w:rPr>
          <w:rStyle w:val="Textoennegrita"/>
          <w:rFonts w:asciiTheme="majorHAnsi" w:hAnsiTheme="majorHAnsi" w:cs="Arial"/>
          <w:b w:val="0"/>
          <w:bCs w:val="0"/>
          <w:sz w:val="22"/>
          <w:szCs w:val="22"/>
        </w:rPr>
      </w:pPr>
      <w:r w:rsidRPr="008517C6">
        <w:rPr>
          <w:rStyle w:val="Textoennegrita"/>
          <w:rFonts w:asciiTheme="majorHAnsi" w:hAnsiTheme="majorHAnsi" w:cs="Arial"/>
          <w:b w:val="0"/>
          <w:sz w:val="22"/>
          <w:szCs w:val="22"/>
        </w:rPr>
        <w:t>Ejecutar acciones comunicativas de manera fluida, clara, precisa y respetuosa   con los miembros de la comunidad sanos o enfermos,  con el equipo de trabajo en su ejercicio profesional y en las actividades de formación profesional en que intervenga.</w:t>
      </w:r>
    </w:p>
    <w:p w:rsidR="00B76E28" w:rsidRPr="008517C6" w:rsidRDefault="00B76E28" w:rsidP="008517C6">
      <w:pPr>
        <w:pStyle w:val="NormalWeb"/>
        <w:numPr>
          <w:ilvl w:val="0"/>
          <w:numId w:val="3"/>
        </w:numPr>
        <w:spacing w:before="0" w:beforeAutospacing="0" w:after="120" w:afterAutospacing="0"/>
        <w:ind w:right="-136"/>
        <w:jc w:val="both"/>
        <w:rPr>
          <w:rStyle w:val="Textoennegrita"/>
          <w:rFonts w:asciiTheme="majorHAnsi" w:hAnsiTheme="majorHAnsi" w:cs="Arial"/>
          <w:b w:val="0"/>
          <w:sz w:val="22"/>
          <w:szCs w:val="22"/>
        </w:rPr>
      </w:pPr>
      <w:r w:rsidRPr="008517C6">
        <w:rPr>
          <w:rStyle w:val="Textoennegrita"/>
          <w:rFonts w:asciiTheme="majorHAnsi" w:hAnsiTheme="majorHAnsi" w:cs="Arial"/>
          <w:b w:val="0"/>
          <w:sz w:val="22"/>
          <w:szCs w:val="22"/>
        </w:rPr>
        <w:t>Utilizar de forma integrada, coherente y racional las tecnologías de  la información  y la comunicación para la búsqueda, procesamiento y análisis de  información procedente de fuentes diversas, que propicien un efectivo intercambio de conocimiento y trabajo en red en el cumplimiento de las diferentes funciones profesionales.</w:t>
      </w:r>
    </w:p>
    <w:p w:rsidR="00627C38" w:rsidRDefault="00B76E28" w:rsidP="008517C6">
      <w:pPr>
        <w:pStyle w:val="NormalWeb"/>
        <w:numPr>
          <w:ilvl w:val="0"/>
          <w:numId w:val="3"/>
        </w:numPr>
        <w:spacing w:before="0" w:beforeAutospacing="0" w:after="120" w:afterAutospacing="0"/>
        <w:ind w:right="-136"/>
        <w:jc w:val="both"/>
        <w:rPr>
          <w:rStyle w:val="Textoennegrita"/>
          <w:rFonts w:asciiTheme="majorHAnsi" w:hAnsiTheme="majorHAnsi" w:cs="Arial"/>
          <w:b w:val="0"/>
          <w:sz w:val="22"/>
          <w:szCs w:val="22"/>
        </w:rPr>
      </w:pPr>
      <w:r w:rsidRPr="008517C6">
        <w:rPr>
          <w:rStyle w:val="Textoennegrita"/>
          <w:rFonts w:asciiTheme="majorHAnsi" w:hAnsiTheme="majorHAnsi" w:cs="Arial"/>
          <w:b w:val="0"/>
          <w:sz w:val="22"/>
          <w:szCs w:val="22"/>
        </w:rPr>
        <w:t xml:space="preserve">Realizar actividades propias de su competencia, y procederes de enfermería en caso de desastres derivados de fenómenos que se presenten por causas naturales o producidos por el hombre. </w:t>
      </w:r>
    </w:p>
    <w:p w:rsidR="00B76E28" w:rsidRPr="00627C38" w:rsidRDefault="00B76E28" w:rsidP="00627C38">
      <w:pPr>
        <w:pStyle w:val="NormalWeb"/>
        <w:spacing w:before="0" w:beforeAutospacing="0" w:after="120" w:afterAutospacing="0"/>
        <w:ind w:right="-136"/>
        <w:jc w:val="both"/>
        <w:rPr>
          <w:rFonts w:asciiTheme="majorHAnsi" w:hAnsiTheme="majorHAnsi" w:cs="Arial"/>
          <w:bCs/>
          <w:sz w:val="22"/>
          <w:szCs w:val="22"/>
        </w:rPr>
      </w:pPr>
      <w:bookmarkStart w:id="0" w:name="_GoBack"/>
      <w:bookmarkEnd w:id="0"/>
      <w:r w:rsidRPr="00627C38">
        <w:rPr>
          <w:rFonts w:asciiTheme="majorHAnsi" w:hAnsiTheme="majorHAnsi" w:cs="Arial"/>
          <w:b/>
          <w:sz w:val="22"/>
          <w:szCs w:val="22"/>
        </w:rPr>
        <w:t>Valores que deben caracterizar al profesional.</w:t>
      </w:r>
    </w:p>
    <w:p w:rsidR="00B76E28" w:rsidRPr="008517C6" w:rsidRDefault="00B76E28" w:rsidP="008517C6">
      <w:pPr>
        <w:tabs>
          <w:tab w:val="left" w:pos="0"/>
          <w:tab w:val="left" w:pos="900"/>
          <w:tab w:val="left" w:pos="1260"/>
        </w:tabs>
        <w:spacing w:after="120"/>
        <w:jc w:val="both"/>
        <w:rPr>
          <w:rFonts w:asciiTheme="majorHAnsi" w:hAnsiTheme="majorHAnsi" w:cs="Arial"/>
          <w:color w:val="000000"/>
          <w:sz w:val="22"/>
          <w:szCs w:val="22"/>
          <w:lang w:val="es-MX"/>
        </w:rPr>
      </w:pPr>
      <w:r w:rsidRPr="008517C6">
        <w:rPr>
          <w:rFonts w:asciiTheme="majorHAnsi" w:hAnsiTheme="majorHAnsi" w:cs="Arial"/>
          <w:sz w:val="22"/>
          <w:szCs w:val="22"/>
        </w:rPr>
        <w:t xml:space="preserve">Los valores compartidos para los que trabaja el Sistema de Salud y por ende considerados en la formación de sus recursos humanos, son la </w:t>
      </w:r>
      <w:r w:rsidRPr="008517C6">
        <w:rPr>
          <w:rFonts w:asciiTheme="majorHAnsi" w:hAnsiTheme="majorHAnsi" w:cs="Arial"/>
          <w:color w:val="000000"/>
          <w:sz w:val="22"/>
          <w:szCs w:val="22"/>
          <w:lang w:val="es-MX"/>
        </w:rPr>
        <w:t>lealtad revolucionaria que les permita ser consecuente con los principios de nuestra revolución tanto en el ámbito nacional como internacional, mostrando sentido del momento histórico para asimilar los cambios necesarios en la construcción de una sociedad más justa; y demostrando una actitud   humanista, consagrada y abnegada para la solución de los problemas de salud de la población de forma desinteresada y altruista.</w:t>
      </w:r>
    </w:p>
    <w:p w:rsidR="00B76E28" w:rsidRPr="008517C6" w:rsidRDefault="00B76E28" w:rsidP="008517C6">
      <w:pPr>
        <w:tabs>
          <w:tab w:val="left" w:pos="0"/>
          <w:tab w:val="left" w:pos="900"/>
          <w:tab w:val="left" w:pos="1260"/>
        </w:tabs>
        <w:spacing w:after="120"/>
        <w:jc w:val="both"/>
        <w:rPr>
          <w:rFonts w:asciiTheme="majorHAnsi" w:hAnsiTheme="majorHAnsi" w:cs="Arial"/>
          <w:sz w:val="22"/>
          <w:szCs w:val="22"/>
        </w:rPr>
      </w:pPr>
      <w:r w:rsidRPr="008517C6">
        <w:rPr>
          <w:rFonts w:asciiTheme="majorHAnsi" w:hAnsiTheme="majorHAnsi" w:cs="Arial"/>
          <w:color w:val="000000"/>
          <w:sz w:val="22"/>
          <w:szCs w:val="22"/>
          <w:lang w:val="es-MX"/>
        </w:rPr>
        <w:t>El profesional deberá mostrar liderazgo, prestigio, responsabilidad, profesionalidad, honestidad, desinterés, modestia, sentidos de la crítica y autocrítica, solidaridad e internacionalismo</w:t>
      </w:r>
      <w:r w:rsidRPr="008517C6">
        <w:rPr>
          <w:rFonts w:asciiTheme="majorHAnsi" w:hAnsiTheme="majorHAnsi" w:cs="Arial"/>
          <w:sz w:val="22"/>
          <w:szCs w:val="22"/>
        </w:rPr>
        <w:t>.</w:t>
      </w:r>
    </w:p>
    <w:p w:rsidR="00054F0D" w:rsidRDefault="00054F0D" w:rsidP="008517C6">
      <w:pPr>
        <w:spacing w:after="120"/>
        <w:jc w:val="both"/>
        <w:rPr>
          <w:rFonts w:asciiTheme="majorHAnsi" w:hAnsiTheme="majorHAnsi" w:cs="Arial"/>
          <w:b/>
          <w:sz w:val="22"/>
          <w:szCs w:val="22"/>
        </w:rPr>
      </w:pPr>
    </w:p>
    <w:p w:rsidR="00054F0D" w:rsidRDefault="00054F0D" w:rsidP="008517C6">
      <w:pPr>
        <w:spacing w:after="120"/>
        <w:jc w:val="both"/>
        <w:rPr>
          <w:rFonts w:asciiTheme="majorHAnsi" w:hAnsiTheme="majorHAnsi" w:cs="Arial"/>
          <w:b/>
          <w:sz w:val="22"/>
          <w:szCs w:val="22"/>
        </w:rPr>
      </w:pP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lastRenderedPageBreak/>
        <w:t>Fundamentación de los cambios principales que genera este nuevo plan de estudio.</w:t>
      </w:r>
    </w:p>
    <w:p w:rsidR="00B76E28" w:rsidRPr="008517C6" w:rsidRDefault="00B76E28" w:rsidP="008517C6">
      <w:pPr>
        <w:numPr>
          <w:ilvl w:val="0"/>
          <w:numId w:val="9"/>
        </w:numPr>
        <w:spacing w:after="120"/>
        <w:jc w:val="both"/>
        <w:rPr>
          <w:rFonts w:asciiTheme="majorHAnsi" w:hAnsiTheme="majorHAnsi" w:cs="Arial"/>
          <w:sz w:val="22"/>
          <w:szCs w:val="22"/>
        </w:rPr>
      </w:pPr>
      <w:r w:rsidRPr="008517C6">
        <w:rPr>
          <w:rFonts w:asciiTheme="majorHAnsi" w:hAnsiTheme="majorHAnsi" w:cs="Arial"/>
          <w:sz w:val="22"/>
          <w:szCs w:val="22"/>
        </w:rPr>
        <w:t>Formación de un profesional de perfil amplio con una elevada cultura general integral y sólida preparación básica.</w:t>
      </w:r>
    </w:p>
    <w:p w:rsidR="00B76E28" w:rsidRPr="008517C6" w:rsidRDefault="00B76E28" w:rsidP="008517C6">
      <w:pPr>
        <w:numPr>
          <w:ilvl w:val="0"/>
          <w:numId w:val="9"/>
        </w:numPr>
        <w:spacing w:after="120"/>
        <w:jc w:val="both"/>
        <w:rPr>
          <w:rFonts w:asciiTheme="majorHAnsi" w:hAnsiTheme="majorHAnsi" w:cs="Arial"/>
          <w:sz w:val="22"/>
          <w:szCs w:val="22"/>
        </w:rPr>
      </w:pPr>
      <w:r w:rsidRPr="008517C6">
        <w:rPr>
          <w:rFonts w:asciiTheme="majorHAnsi" w:hAnsiTheme="majorHAnsi" w:cs="Arial"/>
          <w:sz w:val="22"/>
          <w:szCs w:val="22"/>
        </w:rPr>
        <w:t xml:space="preserve"> Mayor nivel de integración del conocimiento que le permita una mejor utilización en su desempeño profesional.</w:t>
      </w:r>
    </w:p>
    <w:p w:rsidR="00B76E28" w:rsidRPr="008517C6" w:rsidRDefault="00B76E28" w:rsidP="008517C6">
      <w:pPr>
        <w:numPr>
          <w:ilvl w:val="0"/>
          <w:numId w:val="9"/>
        </w:numPr>
        <w:spacing w:after="120"/>
        <w:jc w:val="both"/>
        <w:rPr>
          <w:rFonts w:asciiTheme="majorHAnsi" w:hAnsiTheme="majorHAnsi" w:cs="Arial"/>
          <w:sz w:val="22"/>
          <w:szCs w:val="22"/>
        </w:rPr>
      </w:pPr>
      <w:r w:rsidRPr="008517C6">
        <w:rPr>
          <w:rFonts w:asciiTheme="majorHAnsi" w:hAnsiTheme="majorHAnsi" w:cs="Arial"/>
          <w:sz w:val="22"/>
          <w:szCs w:val="22"/>
        </w:rPr>
        <w:t>Flexibilidad curricular para la adquisición de  conocimientos y habilidades que respondan a las necesidades de salud de cada territorio.</w:t>
      </w:r>
    </w:p>
    <w:p w:rsidR="00B76E28" w:rsidRPr="008517C6" w:rsidRDefault="00B76E28" w:rsidP="008517C6">
      <w:pPr>
        <w:numPr>
          <w:ilvl w:val="0"/>
          <w:numId w:val="9"/>
        </w:numPr>
        <w:spacing w:after="120"/>
        <w:jc w:val="both"/>
        <w:rPr>
          <w:rFonts w:asciiTheme="majorHAnsi" w:hAnsiTheme="majorHAnsi" w:cs="Arial"/>
          <w:sz w:val="22"/>
          <w:szCs w:val="22"/>
        </w:rPr>
      </w:pPr>
      <w:r w:rsidRPr="008517C6">
        <w:rPr>
          <w:rFonts w:asciiTheme="majorHAnsi" w:hAnsiTheme="majorHAnsi" w:cs="Arial"/>
          <w:sz w:val="22"/>
          <w:szCs w:val="22"/>
        </w:rPr>
        <w:t>Se amplía la concepción del trabajo independiente del estudiante y se le aportan métodos de autoaprendizaje necesario para su formación y posterior superación permanente para toda la vida.</w:t>
      </w:r>
    </w:p>
    <w:p w:rsidR="00B76E28" w:rsidRPr="008517C6" w:rsidRDefault="00B76E28" w:rsidP="008517C6">
      <w:pPr>
        <w:numPr>
          <w:ilvl w:val="0"/>
          <w:numId w:val="9"/>
        </w:numPr>
        <w:spacing w:after="120"/>
        <w:jc w:val="both"/>
        <w:rPr>
          <w:rFonts w:asciiTheme="majorHAnsi" w:hAnsiTheme="majorHAnsi" w:cs="Arial"/>
          <w:sz w:val="22"/>
          <w:szCs w:val="22"/>
        </w:rPr>
      </w:pPr>
      <w:r w:rsidRPr="008517C6">
        <w:rPr>
          <w:rFonts w:asciiTheme="majorHAnsi" w:hAnsiTheme="majorHAnsi" w:cs="Arial"/>
          <w:sz w:val="22"/>
          <w:szCs w:val="22"/>
        </w:rPr>
        <w:t>Mayor coherencia entre  la adquisición de conocimiento y el desarrollo de habilidades prácticas desde los escenarios reales de la profesión</w:t>
      </w:r>
    </w:p>
    <w:p w:rsidR="00B76E28" w:rsidRPr="008517C6" w:rsidRDefault="00B76E28" w:rsidP="008517C6">
      <w:pPr>
        <w:spacing w:after="120"/>
        <w:jc w:val="both"/>
        <w:rPr>
          <w:rFonts w:asciiTheme="majorHAnsi" w:hAnsiTheme="majorHAnsi" w:cs="Arial"/>
          <w:b/>
          <w:sz w:val="22"/>
          <w:szCs w:val="22"/>
        </w:rPr>
      </w:pPr>
      <w:r w:rsidRPr="008517C6">
        <w:rPr>
          <w:rFonts w:asciiTheme="majorHAnsi" w:hAnsiTheme="majorHAnsi" w:cs="Arial"/>
          <w:b/>
          <w:sz w:val="22"/>
          <w:szCs w:val="22"/>
        </w:rPr>
        <w:t>Requisitos de ingreso a la carrera</w:t>
      </w:r>
    </w:p>
    <w:p w:rsidR="00B76E28" w:rsidRPr="008517C6" w:rsidRDefault="00B76E28" w:rsidP="008517C6">
      <w:pPr>
        <w:spacing w:after="120"/>
        <w:jc w:val="both"/>
        <w:rPr>
          <w:rFonts w:asciiTheme="majorHAnsi" w:hAnsiTheme="majorHAnsi" w:cs="Arial"/>
          <w:sz w:val="22"/>
          <w:szCs w:val="22"/>
        </w:rPr>
      </w:pPr>
      <w:r w:rsidRPr="008517C6">
        <w:rPr>
          <w:rFonts w:asciiTheme="majorHAnsi" w:hAnsiTheme="majorHAnsi" w:cs="Arial"/>
          <w:sz w:val="22"/>
          <w:szCs w:val="22"/>
          <w:lang w:val="es-ES_tradnl"/>
        </w:rPr>
        <w:t xml:space="preserve">El estudiante que aspire a ingresar a la carrera debe cumplir con  los requisitos generales planteados en el plan de estudios. Es imprescindible el cumplimiento de algunos requisitos específicos, </w:t>
      </w:r>
      <w:r w:rsidRPr="008517C6">
        <w:rPr>
          <w:rFonts w:asciiTheme="majorHAnsi" w:hAnsiTheme="majorHAnsi" w:cs="Arial"/>
          <w:sz w:val="22"/>
          <w:szCs w:val="22"/>
        </w:rPr>
        <w:t xml:space="preserve">existiendo enfermedades o trastornos excluyentes que se determinarán por los especialistas médicos como: </w:t>
      </w:r>
    </w:p>
    <w:p w:rsidR="00B76E28" w:rsidRPr="008517C6" w:rsidRDefault="00B76E28" w:rsidP="008517C6">
      <w:pPr>
        <w:spacing w:after="120"/>
        <w:jc w:val="both"/>
        <w:rPr>
          <w:rFonts w:asciiTheme="majorHAnsi" w:hAnsiTheme="majorHAnsi" w:cs="Arial"/>
          <w:sz w:val="22"/>
          <w:szCs w:val="22"/>
          <w:u w:val="single"/>
        </w:rPr>
      </w:pPr>
      <w:r w:rsidRPr="008517C6">
        <w:rPr>
          <w:rFonts w:asciiTheme="majorHAnsi" w:hAnsiTheme="majorHAnsi" w:cs="Arial"/>
          <w:sz w:val="22"/>
          <w:szCs w:val="22"/>
          <w:u w:val="single"/>
        </w:rPr>
        <w:t>Alteraciones neurológicas</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Retraso mental (ligero, moderado o severo)</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Trastornos de la coordinación (atetosis, corea, parkinson, hemibalismo)</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Epilepsia no controlada</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Narcolepsia</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Atrofia/distrofia muscular</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Miastenia grave no tratada</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Discapacidad motora (hemiplejia/hemiparesia, ausencia de uno o ambos miembros superiores, dedos, manos, otras)</w:t>
      </w:r>
    </w:p>
    <w:p w:rsidR="00B76E28" w:rsidRPr="008517C6" w:rsidRDefault="00B76E28" w:rsidP="008517C6">
      <w:pPr>
        <w:numPr>
          <w:ilvl w:val="0"/>
          <w:numId w:val="11"/>
        </w:numPr>
        <w:spacing w:after="120"/>
        <w:jc w:val="both"/>
        <w:rPr>
          <w:rFonts w:asciiTheme="majorHAnsi" w:hAnsiTheme="majorHAnsi" w:cs="Arial"/>
          <w:sz w:val="22"/>
          <w:szCs w:val="22"/>
        </w:rPr>
      </w:pPr>
      <w:r w:rsidRPr="008517C6">
        <w:rPr>
          <w:rFonts w:asciiTheme="majorHAnsi" w:hAnsiTheme="majorHAnsi" w:cs="Arial"/>
          <w:sz w:val="22"/>
          <w:szCs w:val="22"/>
        </w:rPr>
        <w:t>Otras</w:t>
      </w:r>
    </w:p>
    <w:p w:rsidR="00B76E28" w:rsidRPr="008517C6" w:rsidRDefault="00B76E28" w:rsidP="008517C6">
      <w:pPr>
        <w:spacing w:after="120"/>
        <w:jc w:val="both"/>
        <w:rPr>
          <w:rFonts w:asciiTheme="majorHAnsi" w:hAnsiTheme="majorHAnsi" w:cs="Arial"/>
          <w:sz w:val="22"/>
          <w:szCs w:val="22"/>
          <w:u w:val="single"/>
        </w:rPr>
      </w:pPr>
      <w:r w:rsidRPr="008517C6">
        <w:rPr>
          <w:rFonts w:asciiTheme="majorHAnsi" w:hAnsiTheme="majorHAnsi" w:cs="Arial"/>
          <w:sz w:val="22"/>
          <w:szCs w:val="22"/>
          <w:u w:val="single"/>
        </w:rPr>
        <w:t>Trastornos visuales</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Disminución de la agudeza visual (miopía avanzada, otras)</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 xml:space="preserve">Uso de prótesis ocular </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Ceguera unilateral/bilateral</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Daltonismo</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Diplopia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Retinosis Pigmentaria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Cataratas no quirúrgica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Desprendimiento de retina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otros</w:t>
      </w:r>
    </w:p>
    <w:p w:rsidR="00B76E28" w:rsidRPr="008517C6" w:rsidRDefault="00B76E28" w:rsidP="008517C6">
      <w:pPr>
        <w:spacing w:after="120"/>
        <w:jc w:val="both"/>
        <w:rPr>
          <w:rFonts w:asciiTheme="majorHAnsi" w:hAnsiTheme="majorHAnsi" w:cs="Arial"/>
          <w:sz w:val="22"/>
          <w:szCs w:val="22"/>
          <w:u w:val="single"/>
        </w:rPr>
      </w:pPr>
    </w:p>
    <w:p w:rsidR="00B76E28" w:rsidRPr="008517C6" w:rsidRDefault="00B76E28" w:rsidP="008517C6">
      <w:pPr>
        <w:spacing w:after="120"/>
        <w:jc w:val="both"/>
        <w:rPr>
          <w:rFonts w:asciiTheme="majorHAnsi" w:hAnsiTheme="majorHAnsi" w:cs="Arial"/>
          <w:sz w:val="22"/>
          <w:szCs w:val="22"/>
          <w:u w:val="single"/>
        </w:rPr>
      </w:pPr>
      <w:r w:rsidRPr="008517C6">
        <w:rPr>
          <w:rFonts w:asciiTheme="majorHAnsi" w:hAnsiTheme="majorHAnsi" w:cs="Arial"/>
          <w:sz w:val="22"/>
          <w:szCs w:val="22"/>
          <w:u w:val="single"/>
        </w:rPr>
        <w:lastRenderedPageBreak/>
        <w:t xml:space="preserve">Trastornos psiquiátricos: </w:t>
      </w:r>
    </w:p>
    <w:p w:rsidR="00B76E28" w:rsidRPr="008517C6" w:rsidRDefault="00B76E28" w:rsidP="008517C6">
      <w:pPr>
        <w:numPr>
          <w:ilvl w:val="0"/>
          <w:numId w:val="13"/>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 xml:space="preserve">Trastornos psicóticos (Psicosis maníaco depresiva, Esquizofrenia paranoide, trastornos de la personalidad,  y otros) </w:t>
      </w:r>
    </w:p>
    <w:p w:rsidR="00B76E28" w:rsidRPr="008517C6" w:rsidRDefault="00B76E28" w:rsidP="008517C6">
      <w:pPr>
        <w:numPr>
          <w:ilvl w:val="0"/>
          <w:numId w:val="13"/>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Alcoholismo, dependencia a opiáceos, hipnóticos y barbitúricos, alucinógenos y otros compuestos afines)</w:t>
      </w:r>
    </w:p>
    <w:p w:rsidR="00B76E28" w:rsidRPr="008517C6" w:rsidRDefault="00B76E28" w:rsidP="008517C6">
      <w:pPr>
        <w:numPr>
          <w:ilvl w:val="0"/>
          <w:numId w:val="13"/>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 xml:space="preserve">Otros </w:t>
      </w:r>
    </w:p>
    <w:p w:rsidR="00B76E28" w:rsidRPr="008517C6" w:rsidRDefault="00B76E28" w:rsidP="008517C6">
      <w:pPr>
        <w:spacing w:after="120"/>
        <w:rPr>
          <w:rFonts w:asciiTheme="majorHAnsi" w:hAnsiTheme="majorHAnsi" w:cs="Arial"/>
          <w:sz w:val="22"/>
          <w:szCs w:val="22"/>
          <w:u w:val="single"/>
        </w:rPr>
      </w:pPr>
      <w:r w:rsidRPr="008517C6">
        <w:rPr>
          <w:rFonts w:asciiTheme="majorHAnsi" w:hAnsiTheme="majorHAnsi" w:cs="Arial"/>
          <w:sz w:val="22"/>
          <w:szCs w:val="22"/>
          <w:u w:val="single"/>
        </w:rPr>
        <w:t xml:space="preserve">Otros: </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 xml:space="preserve">Sordera bilateral </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Hipersensibilidad a productos químicos.</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Trastornos del habla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Insuficiencia circulatoria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Inmunodeficiencias primarias y adquiridas</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Hemofilia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Sicklemia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Insuficiencia renal crónica</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Enfermedades de la piel (Lupus eritematoso discoide fijo, eritema multiforme, pénfigo, melanoma maligno, psoriais, otras)</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Afecciones cardiovasculares, respiratorias, u otras enfermedades sistémicas, de carácter grave</w:t>
      </w:r>
    </w:p>
    <w:p w:rsidR="00B76E28" w:rsidRPr="008517C6" w:rsidRDefault="00B76E28" w:rsidP="008517C6">
      <w:pPr>
        <w:numPr>
          <w:ilvl w:val="0"/>
          <w:numId w:val="12"/>
        </w:numPr>
        <w:tabs>
          <w:tab w:val="clear" w:pos="720"/>
          <w:tab w:val="num" w:pos="1080"/>
        </w:tabs>
        <w:spacing w:after="120"/>
        <w:ind w:firstLine="0"/>
        <w:jc w:val="both"/>
        <w:rPr>
          <w:rFonts w:asciiTheme="majorHAnsi" w:hAnsiTheme="majorHAnsi" w:cs="Arial"/>
          <w:sz w:val="22"/>
          <w:szCs w:val="22"/>
        </w:rPr>
      </w:pPr>
      <w:r w:rsidRPr="008517C6">
        <w:rPr>
          <w:rFonts w:asciiTheme="majorHAnsi" w:hAnsiTheme="majorHAnsi" w:cs="Arial"/>
          <w:sz w:val="22"/>
          <w:szCs w:val="22"/>
        </w:rPr>
        <w:t>Hepatitis B y C</w:t>
      </w:r>
    </w:p>
    <w:p w:rsidR="00F237BF" w:rsidRPr="008517C6" w:rsidRDefault="00F237BF" w:rsidP="008517C6">
      <w:pPr>
        <w:spacing w:after="120"/>
        <w:rPr>
          <w:rFonts w:asciiTheme="majorHAnsi" w:hAnsiTheme="majorHAnsi"/>
          <w:sz w:val="22"/>
          <w:szCs w:val="22"/>
        </w:rPr>
      </w:pPr>
    </w:p>
    <w:sectPr w:rsidR="00F237BF" w:rsidRPr="008517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4E" w:rsidRDefault="0043274E" w:rsidP="00B46C42">
      <w:r>
        <w:separator/>
      </w:r>
    </w:p>
  </w:endnote>
  <w:endnote w:type="continuationSeparator" w:id="0">
    <w:p w:rsidR="0043274E" w:rsidRDefault="0043274E" w:rsidP="00B4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4E" w:rsidRDefault="0043274E" w:rsidP="00B46C42">
      <w:r>
        <w:separator/>
      </w:r>
    </w:p>
  </w:footnote>
  <w:footnote w:type="continuationSeparator" w:id="0">
    <w:p w:rsidR="0043274E" w:rsidRDefault="0043274E" w:rsidP="00B46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5FFE"/>
    <w:multiLevelType w:val="hybridMultilevel"/>
    <w:tmpl w:val="A55EB2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DC43C1"/>
    <w:multiLevelType w:val="hybridMultilevel"/>
    <w:tmpl w:val="285EF920"/>
    <w:lvl w:ilvl="0" w:tplc="73EC8A6A">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928"/>
        </w:tabs>
        <w:ind w:left="928"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8740E5"/>
    <w:multiLevelType w:val="hybridMultilevel"/>
    <w:tmpl w:val="FBF0D88C"/>
    <w:lvl w:ilvl="0" w:tplc="F93650D2">
      <w:start w:val="1"/>
      <w:numFmt w:val="decimal"/>
      <w:lvlText w:val="%1."/>
      <w:lvlJc w:val="left"/>
      <w:pPr>
        <w:tabs>
          <w:tab w:val="num" w:pos="720"/>
        </w:tabs>
        <w:ind w:left="720" w:hanging="360"/>
      </w:pPr>
      <w:rPr>
        <w:rFonts w:hint="default"/>
      </w:rPr>
    </w:lvl>
    <w:lvl w:ilvl="1" w:tplc="E42C1F78">
      <w:numFmt w:val="none"/>
      <w:lvlText w:val=""/>
      <w:lvlJc w:val="left"/>
      <w:pPr>
        <w:tabs>
          <w:tab w:val="num" w:pos="360"/>
        </w:tabs>
      </w:pPr>
    </w:lvl>
    <w:lvl w:ilvl="2" w:tplc="91C46F3A">
      <w:numFmt w:val="none"/>
      <w:lvlText w:val=""/>
      <w:lvlJc w:val="left"/>
      <w:pPr>
        <w:tabs>
          <w:tab w:val="num" w:pos="360"/>
        </w:tabs>
      </w:pPr>
    </w:lvl>
    <w:lvl w:ilvl="3" w:tplc="94364A6E">
      <w:numFmt w:val="none"/>
      <w:lvlText w:val=""/>
      <w:lvlJc w:val="left"/>
      <w:pPr>
        <w:tabs>
          <w:tab w:val="num" w:pos="360"/>
        </w:tabs>
      </w:pPr>
    </w:lvl>
    <w:lvl w:ilvl="4" w:tplc="E016441A">
      <w:numFmt w:val="none"/>
      <w:lvlText w:val=""/>
      <w:lvlJc w:val="left"/>
      <w:pPr>
        <w:tabs>
          <w:tab w:val="num" w:pos="360"/>
        </w:tabs>
      </w:pPr>
    </w:lvl>
    <w:lvl w:ilvl="5" w:tplc="2F4277CE">
      <w:numFmt w:val="none"/>
      <w:lvlText w:val=""/>
      <w:lvlJc w:val="left"/>
      <w:pPr>
        <w:tabs>
          <w:tab w:val="num" w:pos="360"/>
        </w:tabs>
      </w:pPr>
    </w:lvl>
    <w:lvl w:ilvl="6" w:tplc="8A7C28A6">
      <w:numFmt w:val="none"/>
      <w:lvlText w:val=""/>
      <w:lvlJc w:val="left"/>
      <w:pPr>
        <w:tabs>
          <w:tab w:val="num" w:pos="360"/>
        </w:tabs>
      </w:pPr>
    </w:lvl>
    <w:lvl w:ilvl="7" w:tplc="BE460D32">
      <w:numFmt w:val="none"/>
      <w:lvlText w:val=""/>
      <w:lvlJc w:val="left"/>
      <w:pPr>
        <w:tabs>
          <w:tab w:val="num" w:pos="360"/>
        </w:tabs>
      </w:pPr>
    </w:lvl>
    <w:lvl w:ilvl="8" w:tplc="B1FCBA56">
      <w:numFmt w:val="none"/>
      <w:lvlText w:val=""/>
      <w:lvlJc w:val="left"/>
      <w:pPr>
        <w:tabs>
          <w:tab w:val="num" w:pos="360"/>
        </w:tabs>
      </w:pPr>
    </w:lvl>
  </w:abstractNum>
  <w:abstractNum w:abstractNumId="3">
    <w:nsid w:val="1C546621"/>
    <w:multiLevelType w:val="hybridMultilevel"/>
    <w:tmpl w:val="7EEE192E"/>
    <w:lvl w:ilvl="0" w:tplc="2278A6F2">
      <w:start w:val="1"/>
      <w:numFmt w:val="upperRoman"/>
      <w:lvlText w:val="%1."/>
      <w:lvlJc w:val="left"/>
      <w:pPr>
        <w:tabs>
          <w:tab w:val="num" w:pos="1080"/>
        </w:tabs>
        <w:ind w:left="1080" w:hanging="720"/>
      </w:pPr>
      <w:rPr>
        <w:rFonts w:hint="default"/>
      </w:rPr>
    </w:lvl>
    <w:lvl w:ilvl="1" w:tplc="D29A05C0">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7C367C"/>
    <w:multiLevelType w:val="hybridMultilevel"/>
    <w:tmpl w:val="AE3A5652"/>
    <w:lvl w:ilvl="0" w:tplc="6316AF04">
      <w:start w:val="1"/>
      <w:numFmt w:val="bullet"/>
      <w:lvlText w:val="•"/>
      <w:lvlJc w:val="left"/>
      <w:pPr>
        <w:tabs>
          <w:tab w:val="num" w:pos="720"/>
        </w:tabs>
        <w:ind w:left="720" w:hanging="360"/>
      </w:pPr>
      <w:rPr>
        <w:rFonts w:ascii="Times New Roman" w:hAnsi="Times New Roman" w:hint="default"/>
      </w:rPr>
    </w:lvl>
    <w:lvl w:ilvl="1" w:tplc="CD4ED3CA">
      <w:start w:val="1"/>
      <w:numFmt w:val="bullet"/>
      <w:lvlText w:val="•"/>
      <w:lvlJc w:val="left"/>
      <w:pPr>
        <w:tabs>
          <w:tab w:val="num" w:pos="1440"/>
        </w:tabs>
        <w:ind w:left="1440" w:hanging="360"/>
      </w:pPr>
      <w:rPr>
        <w:rFonts w:ascii="Times New Roman" w:hAnsi="Times New Roman" w:hint="default"/>
      </w:rPr>
    </w:lvl>
    <w:lvl w:ilvl="2" w:tplc="8206A9EC" w:tentative="1">
      <w:start w:val="1"/>
      <w:numFmt w:val="bullet"/>
      <w:lvlText w:val="•"/>
      <w:lvlJc w:val="left"/>
      <w:pPr>
        <w:tabs>
          <w:tab w:val="num" w:pos="2160"/>
        </w:tabs>
        <w:ind w:left="2160" w:hanging="360"/>
      </w:pPr>
      <w:rPr>
        <w:rFonts w:ascii="Times New Roman" w:hAnsi="Times New Roman" w:hint="default"/>
      </w:rPr>
    </w:lvl>
    <w:lvl w:ilvl="3" w:tplc="6E8EC6D4" w:tentative="1">
      <w:start w:val="1"/>
      <w:numFmt w:val="bullet"/>
      <w:lvlText w:val="•"/>
      <w:lvlJc w:val="left"/>
      <w:pPr>
        <w:tabs>
          <w:tab w:val="num" w:pos="2880"/>
        </w:tabs>
        <w:ind w:left="2880" w:hanging="360"/>
      </w:pPr>
      <w:rPr>
        <w:rFonts w:ascii="Times New Roman" w:hAnsi="Times New Roman" w:hint="default"/>
      </w:rPr>
    </w:lvl>
    <w:lvl w:ilvl="4" w:tplc="44CCBFF8" w:tentative="1">
      <w:start w:val="1"/>
      <w:numFmt w:val="bullet"/>
      <w:lvlText w:val="•"/>
      <w:lvlJc w:val="left"/>
      <w:pPr>
        <w:tabs>
          <w:tab w:val="num" w:pos="3600"/>
        </w:tabs>
        <w:ind w:left="3600" w:hanging="360"/>
      </w:pPr>
      <w:rPr>
        <w:rFonts w:ascii="Times New Roman" w:hAnsi="Times New Roman" w:hint="default"/>
      </w:rPr>
    </w:lvl>
    <w:lvl w:ilvl="5" w:tplc="127C7396" w:tentative="1">
      <w:start w:val="1"/>
      <w:numFmt w:val="bullet"/>
      <w:lvlText w:val="•"/>
      <w:lvlJc w:val="left"/>
      <w:pPr>
        <w:tabs>
          <w:tab w:val="num" w:pos="4320"/>
        </w:tabs>
        <w:ind w:left="4320" w:hanging="360"/>
      </w:pPr>
      <w:rPr>
        <w:rFonts w:ascii="Times New Roman" w:hAnsi="Times New Roman" w:hint="default"/>
      </w:rPr>
    </w:lvl>
    <w:lvl w:ilvl="6" w:tplc="C8446A80" w:tentative="1">
      <w:start w:val="1"/>
      <w:numFmt w:val="bullet"/>
      <w:lvlText w:val="•"/>
      <w:lvlJc w:val="left"/>
      <w:pPr>
        <w:tabs>
          <w:tab w:val="num" w:pos="5040"/>
        </w:tabs>
        <w:ind w:left="5040" w:hanging="360"/>
      </w:pPr>
      <w:rPr>
        <w:rFonts w:ascii="Times New Roman" w:hAnsi="Times New Roman" w:hint="default"/>
      </w:rPr>
    </w:lvl>
    <w:lvl w:ilvl="7" w:tplc="2D5ED642" w:tentative="1">
      <w:start w:val="1"/>
      <w:numFmt w:val="bullet"/>
      <w:lvlText w:val="•"/>
      <w:lvlJc w:val="left"/>
      <w:pPr>
        <w:tabs>
          <w:tab w:val="num" w:pos="5760"/>
        </w:tabs>
        <w:ind w:left="5760" w:hanging="360"/>
      </w:pPr>
      <w:rPr>
        <w:rFonts w:ascii="Times New Roman" w:hAnsi="Times New Roman" w:hint="default"/>
      </w:rPr>
    </w:lvl>
    <w:lvl w:ilvl="8" w:tplc="33BC23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7C781B"/>
    <w:multiLevelType w:val="hybridMultilevel"/>
    <w:tmpl w:val="CBC4B6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477A477E"/>
    <w:multiLevelType w:val="hybridMultilevel"/>
    <w:tmpl w:val="FFF05D2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54976466"/>
    <w:multiLevelType w:val="hybridMultilevel"/>
    <w:tmpl w:val="BE44D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5352892"/>
    <w:multiLevelType w:val="hybridMultilevel"/>
    <w:tmpl w:val="B5A4EC5E"/>
    <w:lvl w:ilvl="0" w:tplc="040A0001">
      <w:start w:val="1"/>
      <w:numFmt w:val="bullet"/>
      <w:lvlText w:val=""/>
      <w:lvlJc w:val="left"/>
      <w:pPr>
        <w:tabs>
          <w:tab w:val="num" w:pos="840"/>
        </w:tabs>
        <w:ind w:left="840" w:hanging="360"/>
      </w:pPr>
      <w:rPr>
        <w:rFonts w:ascii="Symbol" w:hAnsi="Symbol" w:hint="default"/>
      </w:rPr>
    </w:lvl>
    <w:lvl w:ilvl="1" w:tplc="040A0003" w:tentative="1">
      <w:start w:val="1"/>
      <w:numFmt w:val="bullet"/>
      <w:lvlText w:val="o"/>
      <w:lvlJc w:val="left"/>
      <w:pPr>
        <w:tabs>
          <w:tab w:val="num" w:pos="1560"/>
        </w:tabs>
        <w:ind w:left="1560" w:hanging="360"/>
      </w:pPr>
      <w:rPr>
        <w:rFonts w:ascii="Courier New" w:hAnsi="Courier New" w:cs="Courier New" w:hint="default"/>
      </w:rPr>
    </w:lvl>
    <w:lvl w:ilvl="2" w:tplc="040A0005" w:tentative="1">
      <w:start w:val="1"/>
      <w:numFmt w:val="bullet"/>
      <w:lvlText w:val=""/>
      <w:lvlJc w:val="left"/>
      <w:pPr>
        <w:tabs>
          <w:tab w:val="num" w:pos="2280"/>
        </w:tabs>
        <w:ind w:left="2280" w:hanging="360"/>
      </w:pPr>
      <w:rPr>
        <w:rFonts w:ascii="Wingdings" w:hAnsi="Wingdings" w:hint="default"/>
      </w:rPr>
    </w:lvl>
    <w:lvl w:ilvl="3" w:tplc="040A0001" w:tentative="1">
      <w:start w:val="1"/>
      <w:numFmt w:val="bullet"/>
      <w:lvlText w:val=""/>
      <w:lvlJc w:val="left"/>
      <w:pPr>
        <w:tabs>
          <w:tab w:val="num" w:pos="3000"/>
        </w:tabs>
        <w:ind w:left="3000" w:hanging="360"/>
      </w:pPr>
      <w:rPr>
        <w:rFonts w:ascii="Symbol" w:hAnsi="Symbol" w:hint="default"/>
      </w:rPr>
    </w:lvl>
    <w:lvl w:ilvl="4" w:tplc="040A0003" w:tentative="1">
      <w:start w:val="1"/>
      <w:numFmt w:val="bullet"/>
      <w:lvlText w:val="o"/>
      <w:lvlJc w:val="left"/>
      <w:pPr>
        <w:tabs>
          <w:tab w:val="num" w:pos="3720"/>
        </w:tabs>
        <w:ind w:left="3720" w:hanging="360"/>
      </w:pPr>
      <w:rPr>
        <w:rFonts w:ascii="Courier New" w:hAnsi="Courier New" w:cs="Courier New" w:hint="default"/>
      </w:rPr>
    </w:lvl>
    <w:lvl w:ilvl="5" w:tplc="040A0005" w:tentative="1">
      <w:start w:val="1"/>
      <w:numFmt w:val="bullet"/>
      <w:lvlText w:val=""/>
      <w:lvlJc w:val="left"/>
      <w:pPr>
        <w:tabs>
          <w:tab w:val="num" w:pos="4440"/>
        </w:tabs>
        <w:ind w:left="4440" w:hanging="360"/>
      </w:pPr>
      <w:rPr>
        <w:rFonts w:ascii="Wingdings" w:hAnsi="Wingdings" w:hint="default"/>
      </w:rPr>
    </w:lvl>
    <w:lvl w:ilvl="6" w:tplc="040A0001" w:tentative="1">
      <w:start w:val="1"/>
      <w:numFmt w:val="bullet"/>
      <w:lvlText w:val=""/>
      <w:lvlJc w:val="left"/>
      <w:pPr>
        <w:tabs>
          <w:tab w:val="num" w:pos="5160"/>
        </w:tabs>
        <w:ind w:left="5160" w:hanging="360"/>
      </w:pPr>
      <w:rPr>
        <w:rFonts w:ascii="Symbol" w:hAnsi="Symbol" w:hint="default"/>
      </w:rPr>
    </w:lvl>
    <w:lvl w:ilvl="7" w:tplc="040A0003" w:tentative="1">
      <w:start w:val="1"/>
      <w:numFmt w:val="bullet"/>
      <w:lvlText w:val="o"/>
      <w:lvlJc w:val="left"/>
      <w:pPr>
        <w:tabs>
          <w:tab w:val="num" w:pos="5880"/>
        </w:tabs>
        <w:ind w:left="5880" w:hanging="360"/>
      </w:pPr>
      <w:rPr>
        <w:rFonts w:ascii="Courier New" w:hAnsi="Courier New" w:cs="Courier New" w:hint="default"/>
      </w:rPr>
    </w:lvl>
    <w:lvl w:ilvl="8" w:tplc="040A0005" w:tentative="1">
      <w:start w:val="1"/>
      <w:numFmt w:val="bullet"/>
      <w:lvlText w:val=""/>
      <w:lvlJc w:val="left"/>
      <w:pPr>
        <w:tabs>
          <w:tab w:val="num" w:pos="6600"/>
        </w:tabs>
        <w:ind w:left="6600" w:hanging="360"/>
      </w:pPr>
      <w:rPr>
        <w:rFonts w:ascii="Wingdings" w:hAnsi="Wingdings" w:hint="default"/>
      </w:rPr>
    </w:lvl>
  </w:abstractNum>
  <w:abstractNum w:abstractNumId="9">
    <w:nsid w:val="60544AAA"/>
    <w:multiLevelType w:val="hybridMultilevel"/>
    <w:tmpl w:val="3B0221A6"/>
    <w:lvl w:ilvl="0" w:tplc="13C2614C">
      <w:start w:val="1"/>
      <w:numFmt w:val="bullet"/>
      <w:lvlText w:val="–"/>
      <w:lvlJc w:val="left"/>
      <w:pPr>
        <w:tabs>
          <w:tab w:val="num" w:pos="720"/>
        </w:tabs>
        <w:ind w:left="720" w:hanging="360"/>
      </w:pPr>
      <w:rPr>
        <w:rFonts w:ascii="Times New Roman" w:hAnsi="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FBE07E12" w:tentative="1">
      <w:start w:val="1"/>
      <w:numFmt w:val="bullet"/>
      <w:lvlText w:val="–"/>
      <w:lvlJc w:val="left"/>
      <w:pPr>
        <w:tabs>
          <w:tab w:val="num" w:pos="2160"/>
        </w:tabs>
        <w:ind w:left="2160" w:hanging="360"/>
      </w:pPr>
      <w:rPr>
        <w:rFonts w:ascii="Times New Roman" w:hAnsi="Times New Roman" w:hint="default"/>
      </w:rPr>
    </w:lvl>
    <w:lvl w:ilvl="3" w:tplc="FEEAFB02" w:tentative="1">
      <w:start w:val="1"/>
      <w:numFmt w:val="bullet"/>
      <w:lvlText w:val="–"/>
      <w:lvlJc w:val="left"/>
      <w:pPr>
        <w:tabs>
          <w:tab w:val="num" w:pos="2880"/>
        </w:tabs>
        <w:ind w:left="2880" w:hanging="360"/>
      </w:pPr>
      <w:rPr>
        <w:rFonts w:ascii="Times New Roman" w:hAnsi="Times New Roman" w:hint="default"/>
      </w:rPr>
    </w:lvl>
    <w:lvl w:ilvl="4" w:tplc="0184776A" w:tentative="1">
      <w:start w:val="1"/>
      <w:numFmt w:val="bullet"/>
      <w:lvlText w:val="–"/>
      <w:lvlJc w:val="left"/>
      <w:pPr>
        <w:tabs>
          <w:tab w:val="num" w:pos="3600"/>
        </w:tabs>
        <w:ind w:left="3600" w:hanging="360"/>
      </w:pPr>
      <w:rPr>
        <w:rFonts w:ascii="Times New Roman" w:hAnsi="Times New Roman" w:hint="default"/>
      </w:rPr>
    </w:lvl>
    <w:lvl w:ilvl="5" w:tplc="92BCD268" w:tentative="1">
      <w:start w:val="1"/>
      <w:numFmt w:val="bullet"/>
      <w:lvlText w:val="–"/>
      <w:lvlJc w:val="left"/>
      <w:pPr>
        <w:tabs>
          <w:tab w:val="num" w:pos="4320"/>
        </w:tabs>
        <w:ind w:left="4320" w:hanging="360"/>
      </w:pPr>
      <w:rPr>
        <w:rFonts w:ascii="Times New Roman" w:hAnsi="Times New Roman" w:hint="default"/>
      </w:rPr>
    </w:lvl>
    <w:lvl w:ilvl="6" w:tplc="84CAB638" w:tentative="1">
      <w:start w:val="1"/>
      <w:numFmt w:val="bullet"/>
      <w:lvlText w:val="–"/>
      <w:lvlJc w:val="left"/>
      <w:pPr>
        <w:tabs>
          <w:tab w:val="num" w:pos="5040"/>
        </w:tabs>
        <w:ind w:left="5040" w:hanging="360"/>
      </w:pPr>
      <w:rPr>
        <w:rFonts w:ascii="Times New Roman" w:hAnsi="Times New Roman" w:hint="default"/>
      </w:rPr>
    </w:lvl>
    <w:lvl w:ilvl="7" w:tplc="086442EC" w:tentative="1">
      <w:start w:val="1"/>
      <w:numFmt w:val="bullet"/>
      <w:lvlText w:val="–"/>
      <w:lvlJc w:val="left"/>
      <w:pPr>
        <w:tabs>
          <w:tab w:val="num" w:pos="5760"/>
        </w:tabs>
        <w:ind w:left="5760" w:hanging="360"/>
      </w:pPr>
      <w:rPr>
        <w:rFonts w:ascii="Times New Roman" w:hAnsi="Times New Roman" w:hint="default"/>
      </w:rPr>
    </w:lvl>
    <w:lvl w:ilvl="8" w:tplc="BB3C8C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8723287"/>
    <w:multiLevelType w:val="hybridMultilevel"/>
    <w:tmpl w:val="495CE530"/>
    <w:lvl w:ilvl="0" w:tplc="040A0017">
      <w:start w:val="1"/>
      <w:numFmt w:val="lowerLetter"/>
      <w:lvlText w:val="%1)"/>
      <w:lvlJc w:val="left"/>
      <w:pPr>
        <w:tabs>
          <w:tab w:val="num" w:pos="720"/>
        </w:tabs>
        <w:ind w:left="720" w:hanging="360"/>
      </w:pPr>
      <w:rPr>
        <w:rFonts w:hint="default"/>
      </w:rPr>
    </w:lvl>
    <w:lvl w:ilvl="1" w:tplc="D1DA3FE0">
      <w:start w:val="7"/>
      <w:numFmt w:val="decimal"/>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6B834F11"/>
    <w:multiLevelType w:val="hybridMultilevel"/>
    <w:tmpl w:val="B01EE59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79587616"/>
    <w:multiLevelType w:val="hybridMultilevel"/>
    <w:tmpl w:val="D464A4E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9"/>
  </w:num>
  <w:num w:numId="6">
    <w:abstractNumId w:val="6"/>
  </w:num>
  <w:num w:numId="7">
    <w:abstractNumId w:val="2"/>
  </w:num>
  <w:num w:numId="8">
    <w:abstractNumId w:val="8"/>
  </w:num>
  <w:num w:numId="9">
    <w:abstractNumId w:val="11"/>
  </w:num>
  <w:num w:numId="10">
    <w:abstractNumId w:val="5"/>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2E"/>
    <w:rsid w:val="0002232D"/>
    <w:rsid w:val="00036B68"/>
    <w:rsid w:val="00054F0D"/>
    <w:rsid w:val="00055F11"/>
    <w:rsid w:val="000F4E62"/>
    <w:rsid w:val="001924BE"/>
    <w:rsid w:val="002831BD"/>
    <w:rsid w:val="002C75A4"/>
    <w:rsid w:val="0043274E"/>
    <w:rsid w:val="00627C38"/>
    <w:rsid w:val="00661A0F"/>
    <w:rsid w:val="006F2551"/>
    <w:rsid w:val="007029C9"/>
    <w:rsid w:val="00733CE6"/>
    <w:rsid w:val="007A1461"/>
    <w:rsid w:val="007E65D1"/>
    <w:rsid w:val="008517C6"/>
    <w:rsid w:val="00871202"/>
    <w:rsid w:val="00A3752E"/>
    <w:rsid w:val="00A94DE4"/>
    <w:rsid w:val="00B46C42"/>
    <w:rsid w:val="00B76E28"/>
    <w:rsid w:val="00C62AEE"/>
    <w:rsid w:val="00F237BF"/>
    <w:rsid w:val="00FF5CFA"/>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849934-A94C-4F9D-89F9-37347E9A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28"/>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76E28"/>
    <w:pPr>
      <w:autoSpaceDE w:val="0"/>
      <w:autoSpaceDN w:val="0"/>
      <w:jc w:val="both"/>
    </w:pPr>
    <w:rPr>
      <w:rFonts w:ascii="Arial" w:hAnsi="Arial" w:cs="Arial"/>
      <w:sz w:val="22"/>
      <w:szCs w:val="22"/>
    </w:rPr>
  </w:style>
  <w:style w:type="character" w:customStyle="1" w:styleId="TextoindependienteCar">
    <w:name w:val="Texto independiente Car"/>
    <w:basedOn w:val="Fuentedeprrafopredeter"/>
    <w:link w:val="Textoindependiente"/>
    <w:rsid w:val="00B76E28"/>
    <w:rPr>
      <w:rFonts w:ascii="Arial" w:eastAsia="Times New Roman" w:hAnsi="Arial" w:cs="Arial"/>
      <w:szCs w:val="22"/>
      <w:lang w:eastAsia="es-ES" w:bidi="ar-SA"/>
    </w:rPr>
  </w:style>
  <w:style w:type="paragraph" w:styleId="Sangradetextonormal">
    <w:name w:val="Body Text Indent"/>
    <w:basedOn w:val="Normal"/>
    <w:link w:val="SangradetextonormalCar"/>
    <w:rsid w:val="00B76E28"/>
    <w:pPr>
      <w:autoSpaceDE w:val="0"/>
      <w:autoSpaceDN w:val="0"/>
    </w:pPr>
    <w:rPr>
      <w:rFonts w:ascii="Arial" w:hAnsi="Arial" w:cs="Arial"/>
      <w:sz w:val="22"/>
      <w:szCs w:val="22"/>
    </w:rPr>
  </w:style>
  <w:style w:type="character" w:customStyle="1" w:styleId="SangradetextonormalCar">
    <w:name w:val="Sangría de texto normal Car"/>
    <w:basedOn w:val="Fuentedeprrafopredeter"/>
    <w:link w:val="Sangradetextonormal"/>
    <w:rsid w:val="00B76E28"/>
    <w:rPr>
      <w:rFonts w:ascii="Arial" w:eastAsia="Times New Roman" w:hAnsi="Arial" w:cs="Arial"/>
      <w:szCs w:val="22"/>
      <w:lang w:eastAsia="es-ES" w:bidi="ar-SA"/>
    </w:rPr>
  </w:style>
  <w:style w:type="paragraph" w:styleId="Textoindependiente2">
    <w:name w:val="Body Text 2"/>
    <w:basedOn w:val="Normal"/>
    <w:link w:val="Textoindependiente2Car"/>
    <w:rsid w:val="00B76E28"/>
    <w:pPr>
      <w:spacing w:after="120" w:line="480" w:lineRule="auto"/>
    </w:pPr>
  </w:style>
  <w:style w:type="character" w:customStyle="1" w:styleId="Textoindependiente2Car">
    <w:name w:val="Texto independiente 2 Car"/>
    <w:basedOn w:val="Fuentedeprrafopredeter"/>
    <w:link w:val="Textoindependiente2"/>
    <w:rsid w:val="00B76E28"/>
    <w:rPr>
      <w:rFonts w:ascii="Times New Roman" w:eastAsia="Times New Roman" w:hAnsi="Times New Roman" w:cs="Times New Roman"/>
      <w:sz w:val="24"/>
      <w:szCs w:val="24"/>
      <w:lang w:eastAsia="es-ES" w:bidi="ar-SA"/>
    </w:rPr>
  </w:style>
  <w:style w:type="paragraph" w:styleId="NormalWeb">
    <w:name w:val="Normal (Web)"/>
    <w:basedOn w:val="Normal"/>
    <w:rsid w:val="00B76E28"/>
    <w:pPr>
      <w:spacing w:before="100" w:beforeAutospacing="1" w:after="100" w:afterAutospacing="1"/>
    </w:pPr>
    <w:rPr>
      <w:lang w:val="es-ES_tradnl" w:eastAsia="es-ES_tradnl"/>
    </w:rPr>
  </w:style>
  <w:style w:type="character" w:styleId="Textoennegrita">
    <w:name w:val="Strong"/>
    <w:qFormat/>
    <w:rsid w:val="00B76E28"/>
    <w:rPr>
      <w:b/>
      <w:bCs/>
    </w:rPr>
  </w:style>
  <w:style w:type="paragraph" w:customStyle="1" w:styleId="Lneadeasunto">
    <w:name w:val="Línea de asunto"/>
    <w:basedOn w:val="Normal"/>
    <w:rsid w:val="00B76E28"/>
    <w:pPr>
      <w:widowControl w:val="0"/>
      <w:autoSpaceDE w:val="0"/>
      <w:autoSpaceDN w:val="0"/>
      <w:adjustRightInd w:val="0"/>
    </w:pPr>
    <w:rPr>
      <w:rFonts w:ascii="Arial" w:hAnsi="Arial" w:cs="Arial"/>
    </w:rPr>
  </w:style>
  <w:style w:type="paragraph" w:styleId="Encabezado">
    <w:name w:val="header"/>
    <w:basedOn w:val="Normal"/>
    <w:link w:val="EncabezadoCar"/>
    <w:uiPriority w:val="99"/>
    <w:unhideWhenUsed/>
    <w:rsid w:val="00B46C42"/>
    <w:pPr>
      <w:tabs>
        <w:tab w:val="center" w:pos="4252"/>
        <w:tab w:val="right" w:pos="8504"/>
      </w:tabs>
    </w:pPr>
  </w:style>
  <w:style w:type="character" w:customStyle="1" w:styleId="EncabezadoCar">
    <w:name w:val="Encabezado Car"/>
    <w:basedOn w:val="Fuentedeprrafopredeter"/>
    <w:link w:val="Encabezado"/>
    <w:uiPriority w:val="99"/>
    <w:rsid w:val="00B46C42"/>
    <w:rPr>
      <w:rFonts w:ascii="Times New Roman" w:eastAsia="Times New Roman" w:hAnsi="Times New Roman" w:cs="Times New Roman"/>
      <w:sz w:val="24"/>
      <w:szCs w:val="24"/>
      <w:lang w:eastAsia="es-ES" w:bidi="ar-SA"/>
    </w:rPr>
  </w:style>
  <w:style w:type="paragraph" w:styleId="Piedepgina">
    <w:name w:val="footer"/>
    <w:basedOn w:val="Normal"/>
    <w:link w:val="PiedepginaCar"/>
    <w:uiPriority w:val="99"/>
    <w:unhideWhenUsed/>
    <w:rsid w:val="00B46C42"/>
    <w:pPr>
      <w:tabs>
        <w:tab w:val="center" w:pos="4252"/>
        <w:tab w:val="right" w:pos="8504"/>
      </w:tabs>
    </w:pPr>
  </w:style>
  <w:style w:type="character" w:customStyle="1" w:styleId="PiedepginaCar">
    <w:name w:val="Pie de página Car"/>
    <w:basedOn w:val="Fuentedeprrafopredeter"/>
    <w:link w:val="Piedepgina"/>
    <w:uiPriority w:val="99"/>
    <w:rsid w:val="00B46C42"/>
    <w:rPr>
      <w:rFonts w:ascii="Times New Roman" w:eastAsia="Times New Roman" w:hAnsi="Times New Roman" w:cs="Times New Roman"/>
      <w:sz w:val="24"/>
      <w:szCs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gister.cl/universidad-andres-bello-cursos-65841-centrodetalles.htm" TargetMode="External"/><Relationship Id="rId3" Type="http://schemas.openxmlformats.org/officeDocument/2006/relationships/settings" Target="settings.xml"/><Relationship Id="rId7" Type="http://schemas.openxmlformats.org/officeDocument/2006/relationships/hyperlink" Target="http://www.emagister.com.co/universidad-colegio-mayor-cundinamarca-cursos-65006-centrodetal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5004</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9</cp:revision>
  <dcterms:created xsi:type="dcterms:W3CDTF">2018-11-04T22:39:00Z</dcterms:created>
  <dcterms:modified xsi:type="dcterms:W3CDTF">2018-11-07T02:39:00Z</dcterms:modified>
</cp:coreProperties>
</file>