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25" w:rsidRPr="00ED1725" w:rsidRDefault="005B544B" w:rsidP="00E22E66">
      <w:pPr>
        <w:spacing w:after="0"/>
        <w:jc w:val="center"/>
        <w:rPr>
          <w:b/>
        </w:rPr>
      </w:pPr>
      <w:r>
        <w:rPr>
          <w:b/>
        </w:rPr>
        <w:t>UNIVERSIDAD DE CIENCIAS MÉDICAS DE CIEGO DE Á</w:t>
      </w:r>
      <w:r w:rsidR="00ED1725" w:rsidRPr="00ED1725">
        <w:rPr>
          <w:b/>
        </w:rPr>
        <w:t>VILA</w:t>
      </w:r>
    </w:p>
    <w:p w:rsidR="00ED1725" w:rsidRPr="00ED1725" w:rsidRDefault="005B544B" w:rsidP="00E22E66">
      <w:pPr>
        <w:spacing w:after="0"/>
        <w:jc w:val="center"/>
        <w:rPr>
          <w:b/>
        </w:rPr>
      </w:pPr>
      <w:r>
        <w:rPr>
          <w:b/>
        </w:rPr>
        <w:t>VICERRECTORADO ACADÉ</w:t>
      </w:r>
      <w:r w:rsidR="00ED1725" w:rsidRPr="00ED1725">
        <w:rPr>
          <w:b/>
        </w:rPr>
        <w:t>MICO</w:t>
      </w:r>
    </w:p>
    <w:p w:rsidR="00C10B5C" w:rsidRDefault="00ED1725" w:rsidP="00E22E66">
      <w:pPr>
        <w:jc w:val="center"/>
        <w:rPr>
          <w:b/>
        </w:rPr>
      </w:pPr>
      <w:r w:rsidRPr="00ED1725">
        <w:rPr>
          <w:b/>
        </w:rPr>
        <w:t>DEPARTAMENTO DE INGRESO Y FORMACIÓN VOCACIONAL</w:t>
      </w:r>
    </w:p>
    <w:p w:rsidR="00ED1725" w:rsidRPr="00E22E66" w:rsidRDefault="00E22E66" w:rsidP="00ED1725">
      <w:pPr>
        <w:jc w:val="both"/>
        <w:rPr>
          <w:b/>
          <w:u w:val="single"/>
        </w:rPr>
      </w:pPr>
      <w:r w:rsidRPr="00E22E66">
        <w:rPr>
          <w:b/>
          <w:u w:val="single"/>
        </w:rPr>
        <w:t>CONVOCATORIA PARA EL OTORGAMIENTO DEL CURSO POR ENCUENTRO. CURSO 2022</w:t>
      </w:r>
    </w:p>
    <w:p w:rsidR="00ED1725" w:rsidRDefault="00ED1725" w:rsidP="00ED1725">
      <w:pPr>
        <w:jc w:val="both"/>
      </w:pPr>
      <w:r w:rsidRPr="00ED1725">
        <w:t>Con el objetivo de garantizar el proces</w:t>
      </w:r>
      <w:r w:rsidR="005B544B">
        <w:t>o de ingreso a las carreras de Ciencias M</w:t>
      </w:r>
      <w:r w:rsidRPr="00ED1725">
        <w:t>édicas p</w:t>
      </w:r>
      <w:r>
        <w:t>ara el curso académico 2022</w:t>
      </w:r>
      <w:r w:rsidRPr="00ED1725">
        <w:t xml:space="preserve">, la Universidad </w:t>
      </w:r>
      <w:r>
        <w:t>de Ciencias Médicas de Ciego de Ávila,</w:t>
      </w:r>
      <w:r w:rsidRPr="00ED1725">
        <w:t xml:space="preserve"> de conjunto con la Dirección Provincial de Salud,</w:t>
      </w:r>
      <w:r>
        <w:t xml:space="preserve"> convocan al proceso de otorgamiento a carreras de ciencias médicas en la modalidad de curso por encuentro.</w:t>
      </w:r>
    </w:p>
    <w:p w:rsidR="00ED1725" w:rsidRPr="006A5E7C" w:rsidRDefault="00ED1725" w:rsidP="00ED1725">
      <w:pPr>
        <w:jc w:val="both"/>
        <w:rPr>
          <w:b/>
        </w:rPr>
      </w:pPr>
      <w:r w:rsidRPr="006A5E7C">
        <w:rPr>
          <w:b/>
        </w:rPr>
        <w:t>DE LOS REQUISITOS DE INGRESO.</w:t>
      </w:r>
    </w:p>
    <w:p w:rsidR="00ED1725" w:rsidRDefault="00ED1725" w:rsidP="00717DB0">
      <w:pPr>
        <w:pStyle w:val="Prrafodelista"/>
        <w:numPr>
          <w:ilvl w:val="0"/>
          <w:numId w:val="2"/>
        </w:numPr>
        <w:jc w:val="both"/>
      </w:pPr>
      <w:r>
        <w:t xml:space="preserve">Pueden optar todos los técnicos </w:t>
      </w:r>
      <w:r w:rsidR="00B826C6">
        <w:t xml:space="preserve">medios </w:t>
      </w:r>
      <w:r>
        <w:t>de la salud como opciones de superación profesional.</w:t>
      </w:r>
    </w:p>
    <w:p w:rsidR="006A5E7C" w:rsidRPr="006A5E7C" w:rsidRDefault="006A5E7C" w:rsidP="00717DB0">
      <w:pPr>
        <w:pStyle w:val="Prrafodelista"/>
        <w:numPr>
          <w:ilvl w:val="0"/>
          <w:numId w:val="2"/>
        </w:numPr>
        <w:jc w:val="both"/>
      </w:pPr>
      <w:r w:rsidRPr="006A5E7C">
        <w:t xml:space="preserve">Que exista correspondencia entre el perfil técnico estudiado y/o en el cual se desempeña, con la Licenciatura a que aspira ingresar, según lo establecido en el Anexo I de la presente Resolución. </w:t>
      </w:r>
    </w:p>
    <w:p w:rsidR="00987FBD" w:rsidRDefault="00987FBD" w:rsidP="00717DB0">
      <w:pPr>
        <w:pStyle w:val="Prrafodelista"/>
        <w:numPr>
          <w:ilvl w:val="0"/>
          <w:numId w:val="2"/>
        </w:numPr>
        <w:jc w:val="both"/>
      </w:pPr>
      <w:r w:rsidRPr="00987FBD">
        <w:t xml:space="preserve">Ser trabajador activo del sector de la Salud en el momento de solicitar la plaza para iniciar sus estudios y tener </w:t>
      </w:r>
      <w:r>
        <w:t xml:space="preserve">como mínimo dos años de trabajo o similar periodo antes de la fecha de matrícula. A los graduados con 90 o más puntos solo se le exige un año de trabajo. </w:t>
      </w:r>
    </w:p>
    <w:p w:rsidR="00436190" w:rsidRPr="00987FBD" w:rsidRDefault="00987FBD" w:rsidP="00717DB0">
      <w:pPr>
        <w:pStyle w:val="Prrafodelista"/>
        <w:numPr>
          <w:ilvl w:val="0"/>
          <w:numId w:val="2"/>
        </w:numPr>
        <w:jc w:val="both"/>
      </w:pPr>
      <w:r w:rsidRPr="00987FBD">
        <w:t xml:space="preserve">Ser graduado de los Institutos Politécnicos de la Salud, Institutos Politécnicos de Enfermería o </w:t>
      </w:r>
      <w:r w:rsidR="005B544B">
        <w:t>en Universidades de Ciencias M</w:t>
      </w:r>
      <w:r>
        <w:t xml:space="preserve">édicas. </w:t>
      </w:r>
    </w:p>
    <w:p w:rsidR="00987FBD" w:rsidRDefault="00987FBD" w:rsidP="00ED1725">
      <w:pPr>
        <w:pStyle w:val="Prrafodelista"/>
        <w:numPr>
          <w:ilvl w:val="0"/>
          <w:numId w:val="2"/>
        </w:numPr>
        <w:jc w:val="both"/>
      </w:pPr>
      <w:r>
        <w:t xml:space="preserve">Documentos a presentar: </w:t>
      </w:r>
    </w:p>
    <w:p w:rsidR="005B544B" w:rsidRDefault="00436190" w:rsidP="005B544B">
      <w:pPr>
        <w:pStyle w:val="Prrafodelista"/>
        <w:numPr>
          <w:ilvl w:val="0"/>
          <w:numId w:val="3"/>
        </w:numPr>
        <w:jc w:val="both"/>
      </w:pPr>
      <w:r w:rsidRPr="00436190">
        <w:t xml:space="preserve">Carne de identidad </w:t>
      </w:r>
      <w:proofErr w:type="gramStart"/>
      <w:r w:rsidRPr="00436190">
        <w:t>actualizado</w:t>
      </w:r>
      <w:proofErr w:type="gramEnd"/>
      <w:r w:rsidRPr="00436190">
        <w:t>.</w:t>
      </w:r>
    </w:p>
    <w:p w:rsidR="005B544B" w:rsidRDefault="00987FBD" w:rsidP="005B544B">
      <w:pPr>
        <w:pStyle w:val="Prrafodelista"/>
        <w:numPr>
          <w:ilvl w:val="0"/>
          <w:numId w:val="3"/>
        </w:numPr>
        <w:jc w:val="both"/>
      </w:pPr>
      <w:r>
        <w:t xml:space="preserve">Aval del centro de trabajo donde se refiera que el aspirante no ha sido sancionado con medida disciplinaria de carácter grave o muy grave en los últimos 5 años y que refleje la conducta y despeño del trabajador, </w:t>
      </w:r>
      <w:r w:rsidRPr="005B544B">
        <w:rPr>
          <w:u w:val="single"/>
        </w:rPr>
        <w:t>este debe estar firmado por el sindicato, y dirección de la entidad. Lo anterior debe poseer el cu</w:t>
      </w:r>
      <w:r w:rsidR="0038302B" w:rsidRPr="005B544B">
        <w:rPr>
          <w:u w:val="single"/>
        </w:rPr>
        <w:t>ño del centro</w:t>
      </w:r>
      <w:r>
        <w:t>.</w:t>
      </w:r>
      <w:r w:rsidR="00436190" w:rsidRPr="00436190">
        <w:t xml:space="preserve"> </w:t>
      </w:r>
      <w:r w:rsidR="00096F80">
        <w:t>Si el centro no posee cuño, debe tener el de la DMS donde está enclavada la unidad.</w:t>
      </w:r>
    </w:p>
    <w:p w:rsidR="00987FBD" w:rsidRDefault="00987FBD" w:rsidP="005B544B">
      <w:pPr>
        <w:pStyle w:val="Prrafodelista"/>
        <w:numPr>
          <w:ilvl w:val="0"/>
          <w:numId w:val="3"/>
        </w:numPr>
        <w:jc w:val="both"/>
      </w:pPr>
      <w:r w:rsidRPr="00310CA9">
        <w:t>Original y copia del título y certificación de notas</w:t>
      </w:r>
      <w:r>
        <w:t xml:space="preserve">. </w:t>
      </w:r>
    </w:p>
    <w:p w:rsidR="00987FBD" w:rsidRDefault="00987FBD" w:rsidP="005B544B">
      <w:pPr>
        <w:pStyle w:val="Prrafodelista"/>
        <w:numPr>
          <w:ilvl w:val="0"/>
          <w:numId w:val="3"/>
        </w:numPr>
        <w:jc w:val="both"/>
      </w:pPr>
      <w:r>
        <w:t xml:space="preserve">Presentar documento firmado por el aspirante que reconozca </w:t>
      </w:r>
      <w:r w:rsidR="00310CA9">
        <w:t xml:space="preserve">que una vez graduado, </w:t>
      </w:r>
      <w:r w:rsidR="00310CA9" w:rsidRPr="00310CA9">
        <w:rPr>
          <w:u w:val="single"/>
        </w:rPr>
        <w:t>continuará</w:t>
      </w:r>
      <w:r w:rsidRPr="00310CA9">
        <w:rPr>
          <w:u w:val="single"/>
        </w:rPr>
        <w:t xml:space="preserve"> re</w:t>
      </w:r>
      <w:r w:rsidR="00096F80">
        <w:rPr>
          <w:u w:val="single"/>
        </w:rPr>
        <w:t>alizando su labor de técnico hast</w:t>
      </w:r>
      <w:r w:rsidRPr="00310CA9">
        <w:rPr>
          <w:u w:val="single"/>
        </w:rPr>
        <w:t>a que exista disponibilidad de plaza de licenciado y pueda ocuparla</w:t>
      </w:r>
      <w:r>
        <w:t xml:space="preserve">. </w:t>
      </w:r>
    </w:p>
    <w:p w:rsidR="00231B63" w:rsidRDefault="00096F80" w:rsidP="00096F80">
      <w:pPr>
        <w:jc w:val="both"/>
      </w:pPr>
      <w:r>
        <w:t>Los aspirantes de los municipios de la zona norte (Morón, Bolivia, Chambas, Florencia, Primero de Enero y Ciro Redondo) entregarán la documentación en la Facultad de Ciencias Médicas de Morón</w:t>
      </w:r>
    </w:p>
    <w:p w:rsidR="005B544B" w:rsidRDefault="005B544B" w:rsidP="00717DB0">
      <w:pPr>
        <w:jc w:val="both"/>
      </w:pPr>
      <w:r>
        <w:t>Se anexa a este documento:</w:t>
      </w:r>
    </w:p>
    <w:p w:rsidR="005B544B" w:rsidRDefault="00717DB0" w:rsidP="00717DB0">
      <w:pPr>
        <w:pStyle w:val="Prrafodelista"/>
        <w:numPr>
          <w:ilvl w:val="0"/>
          <w:numId w:val="4"/>
        </w:numPr>
        <w:jc w:val="both"/>
      </w:pPr>
      <w:r>
        <w:t>Anexo 1. Lista general de carreras de fo</w:t>
      </w:r>
      <w:r w:rsidR="008B7FE5">
        <w:t>rmación técnica que tributan a C</w:t>
      </w:r>
      <w:r>
        <w:t>arrer</w:t>
      </w:r>
      <w:r w:rsidR="008B7FE5">
        <w:t>as de Tecnologías de la S</w:t>
      </w:r>
      <w:r>
        <w:t>alud. (observar con énfasis las que tributan a Higiene y Epidemiología que es la que se oferta para la etapa 2022)</w:t>
      </w:r>
    </w:p>
    <w:p w:rsidR="00717DB0" w:rsidRDefault="00717DB0" w:rsidP="00717DB0">
      <w:pPr>
        <w:pStyle w:val="Prrafodelista"/>
        <w:numPr>
          <w:ilvl w:val="0"/>
          <w:numId w:val="4"/>
        </w:numPr>
        <w:jc w:val="both"/>
      </w:pPr>
      <w:r>
        <w:t xml:space="preserve">Anexo 2.  Cronograma </w:t>
      </w:r>
      <w:r w:rsidR="00E32FD4" w:rsidRPr="00E32FD4">
        <w:t>del proceso de ingreso al  CPE  2022 en Ciego de Ávila.</w:t>
      </w:r>
    </w:p>
    <w:p w:rsidR="00717DB0" w:rsidRDefault="00717DB0" w:rsidP="00717DB0">
      <w:pPr>
        <w:pStyle w:val="Prrafodelista"/>
        <w:numPr>
          <w:ilvl w:val="0"/>
          <w:numId w:val="4"/>
        </w:numPr>
        <w:jc w:val="both"/>
      </w:pPr>
      <w:r>
        <w:t>Anexo 3. Plan de plazas para el CPE en el curso 2022</w:t>
      </w:r>
    </w:p>
    <w:p w:rsidR="00096F80" w:rsidRDefault="00096F8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544B" w:rsidRPr="00310CA9" w:rsidRDefault="008B7FE5" w:rsidP="00717DB0">
      <w:pPr>
        <w:jc w:val="both"/>
        <w:rPr>
          <w:b/>
          <w:sz w:val="24"/>
          <w:szCs w:val="24"/>
        </w:rPr>
      </w:pPr>
      <w:r w:rsidRPr="00310CA9">
        <w:rPr>
          <w:b/>
          <w:sz w:val="24"/>
          <w:szCs w:val="24"/>
        </w:rPr>
        <w:lastRenderedPageBreak/>
        <w:t>Anexo 1. Lista de formaciones técnicas que tributan a las carreras de Tecnologías de la Salud.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291"/>
      </w:tblGrid>
      <w:tr w:rsidR="008B7FE5" w:rsidTr="004C7D2C">
        <w:tc>
          <w:tcPr>
            <w:tcW w:w="5353" w:type="dxa"/>
          </w:tcPr>
          <w:p w:rsidR="008B7FE5" w:rsidRDefault="008B7FE5" w:rsidP="00717DB0">
            <w:pPr>
              <w:jc w:val="both"/>
            </w:pPr>
            <w:r>
              <w:t>Formaciones técnicas</w:t>
            </w:r>
          </w:p>
        </w:tc>
        <w:tc>
          <w:tcPr>
            <w:tcW w:w="3291" w:type="dxa"/>
          </w:tcPr>
          <w:p w:rsidR="008B7FE5" w:rsidRDefault="008B7FE5" w:rsidP="00717DB0">
            <w:pPr>
              <w:jc w:val="both"/>
            </w:pPr>
            <w:r>
              <w:t xml:space="preserve">Carreras </w:t>
            </w:r>
          </w:p>
        </w:tc>
      </w:tr>
      <w:tr w:rsidR="008B7FE5" w:rsidTr="004C7D2C">
        <w:tc>
          <w:tcPr>
            <w:tcW w:w="5353" w:type="dxa"/>
          </w:tcPr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Laboratorio Clínico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Clínico.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Microbiología.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Medicina Transfusional.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proofErr w:type="spellStart"/>
            <w:r>
              <w:t>Citohistopatología</w:t>
            </w:r>
            <w:proofErr w:type="spellEnd"/>
            <w:r>
              <w:t>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proofErr w:type="spellStart"/>
            <w:r>
              <w:t>Citohistopatología</w:t>
            </w:r>
            <w:proofErr w:type="spellEnd"/>
            <w:r>
              <w:t>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proofErr w:type="spellStart"/>
            <w:r>
              <w:t>Inmunoalergia</w:t>
            </w:r>
            <w:proofErr w:type="spellEnd"/>
            <w:r>
              <w:t>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Fisiología Humana.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Biología Clínica.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Técnico integral en técnicas de Laboratorio.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Microbiología Clínica.</w:t>
            </w:r>
          </w:p>
        </w:tc>
        <w:tc>
          <w:tcPr>
            <w:tcW w:w="3291" w:type="dxa"/>
          </w:tcPr>
          <w:p w:rsidR="008B7FE5" w:rsidRDefault="008B7FE5" w:rsidP="00717DB0">
            <w:pPr>
              <w:jc w:val="both"/>
            </w:pPr>
            <w:r>
              <w:t>Licenciatura en Bioanálisis Clínico</w:t>
            </w:r>
          </w:p>
        </w:tc>
      </w:tr>
      <w:tr w:rsidR="008B7FE5" w:rsidTr="004C7D2C">
        <w:tc>
          <w:tcPr>
            <w:tcW w:w="5353" w:type="dxa"/>
          </w:tcPr>
          <w:p w:rsidR="008B7FE5" w:rsidRDefault="008B7FE5" w:rsidP="008B7FE5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Nutrición y Dietética.</w:t>
            </w:r>
          </w:p>
          <w:p w:rsidR="008B7FE5" w:rsidRDefault="008B7FE5" w:rsidP="008B7FE5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Dietista</w:t>
            </w:r>
          </w:p>
        </w:tc>
        <w:tc>
          <w:tcPr>
            <w:tcW w:w="3291" w:type="dxa"/>
          </w:tcPr>
          <w:p w:rsidR="008B7FE5" w:rsidRDefault="008B7FE5" w:rsidP="00717DB0">
            <w:pPr>
              <w:jc w:val="both"/>
            </w:pPr>
            <w:r>
              <w:t>Licenciatura en Nutrición</w:t>
            </w:r>
          </w:p>
        </w:tc>
      </w:tr>
      <w:tr w:rsidR="008B7FE5" w:rsidTr="004C7D2C">
        <w:tc>
          <w:tcPr>
            <w:tcW w:w="5353" w:type="dxa"/>
          </w:tcPr>
          <w:p w:rsidR="008B7FE5" w:rsidRDefault="008B7FE5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Podología.</w:t>
            </w:r>
          </w:p>
          <w:p w:rsidR="008B7FE5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Rehabilitació</w:t>
            </w:r>
            <w:r w:rsidR="008B7FE5">
              <w:t>n Social y Ocupacional.</w:t>
            </w:r>
          </w:p>
          <w:p w:rsidR="008B7FE5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Terapia Física y Rehabilitación.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proofErr w:type="spellStart"/>
            <w:r>
              <w:t>Ortoprótesis</w:t>
            </w:r>
            <w:proofErr w:type="spellEnd"/>
            <w:r>
              <w:t>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Traumatología.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Prótesis, </w:t>
            </w:r>
            <w:proofErr w:type="spellStart"/>
            <w:r>
              <w:t>Órtesis</w:t>
            </w:r>
            <w:proofErr w:type="spellEnd"/>
            <w:r>
              <w:t xml:space="preserve"> y </w:t>
            </w:r>
            <w:proofErr w:type="spellStart"/>
            <w:r>
              <w:t>Bandaje</w:t>
            </w:r>
            <w:proofErr w:type="spellEnd"/>
            <w:r>
              <w:t xml:space="preserve"> Ortopédico.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Terapia Ocupacional.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Ergoterapia Psiquiátrica</w:t>
            </w:r>
          </w:p>
        </w:tc>
        <w:tc>
          <w:tcPr>
            <w:tcW w:w="3291" w:type="dxa"/>
          </w:tcPr>
          <w:p w:rsidR="008B7FE5" w:rsidRDefault="008B7FE5" w:rsidP="00717DB0">
            <w:pPr>
              <w:jc w:val="both"/>
            </w:pPr>
            <w:r>
              <w:t>Licenciatura en Rehabilitación en Salud</w:t>
            </w:r>
          </w:p>
        </w:tc>
      </w:tr>
      <w:tr w:rsidR="004C7D2C" w:rsidTr="004C7D2C">
        <w:tc>
          <w:tcPr>
            <w:tcW w:w="5353" w:type="dxa"/>
          </w:tcPr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proofErr w:type="spellStart"/>
            <w:r>
              <w:t>Imagenología</w:t>
            </w:r>
            <w:proofErr w:type="spellEnd"/>
            <w:r>
              <w:t>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Radiología.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Biofísica Médica.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proofErr w:type="spellStart"/>
            <w:r>
              <w:t>Radiofísica</w:t>
            </w:r>
            <w:proofErr w:type="spellEnd"/>
            <w:r>
              <w:t xml:space="preserve"> Médica.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Rayos X</w:t>
            </w:r>
          </w:p>
        </w:tc>
        <w:tc>
          <w:tcPr>
            <w:tcW w:w="3291" w:type="dxa"/>
          </w:tcPr>
          <w:p w:rsidR="004C7D2C" w:rsidRDefault="004C7D2C" w:rsidP="00717DB0">
            <w:pPr>
              <w:jc w:val="both"/>
            </w:pPr>
            <w:r>
              <w:t xml:space="preserve">Licenciatura en </w:t>
            </w:r>
            <w:proofErr w:type="spellStart"/>
            <w:r>
              <w:t>Imagenología</w:t>
            </w:r>
            <w:proofErr w:type="spellEnd"/>
            <w:r>
              <w:t xml:space="preserve"> y </w:t>
            </w:r>
            <w:proofErr w:type="spellStart"/>
            <w:r>
              <w:t>Radiofísica</w:t>
            </w:r>
            <w:proofErr w:type="spellEnd"/>
            <w:r>
              <w:t xml:space="preserve"> Médica</w:t>
            </w:r>
          </w:p>
        </w:tc>
      </w:tr>
      <w:tr w:rsidR="004C7D2C" w:rsidTr="004C7D2C">
        <w:tc>
          <w:tcPr>
            <w:tcW w:w="5353" w:type="dxa"/>
          </w:tcPr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proofErr w:type="spellStart"/>
            <w:r>
              <w:t>Logofonoaudiología</w:t>
            </w:r>
            <w:proofErr w:type="spellEnd"/>
            <w:r>
              <w:t>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Logopedia, Foniatría y Audiología.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Logopedia y Foniatría.</w:t>
            </w:r>
          </w:p>
        </w:tc>
        <w:tc>
          <w:tcPr>
            <w:tcW w:w="3291" w:type="dxa"/>
          </w:tcPr>
          <w:p w:rsidR="004C7D2C" w:rsidRDefault="004C7D2C" w:rsidP="00717DB0">
            <w:pPr>
              <w:jc w:val="both"/>
            </w:pPr>
            <w:r>
              <w:t xml:space="preserve">Licenciatura en </w:t>
            </w:r>
            <w:proofErr w:type="spellStart"/>
            <w:r>
              <w:t>Logofonoaudiología</w:t>
            </w:r>
            <w:proofErr w:type="spellEnd"/>
          </w:p>
        </w:tc>
      </w:tr>
      <w:tr w:rsidR="004C7D2C" w:rsidTr="004C7D2C">
        <w:tc>
          <w:tcPr>
            <w:tcW w:w="5353" w:type="dxa"/>
          </w:tcPr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Higiene y Epidemiología.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Vigilancia y Lucha </w:t>
            </w:r>
            <w:proofErr w:type="spellStart"/>
            <w:r>
              <w:t>Antivectorial</w:t>
            </w:r>
            <w:proofErr w:type="spellEnd"/>
            <w:r>
              <w:t>.</w:t>
            </w:r>
          </w:p>
        </w:tc>
        <w:tc>
          <w:tcPr>
            <w:tcW w:w="3291" w:type="dxa"/>
          </w:tcPr>
          <w:p w:rsidR="004C7D2C" w:rsidRDefault="004C7D2C" w:rsidP="00717DB0">
            <w:pPr>
              <w:jc w:val="both"/>
            </w:pPr>
            <w:r>
              <w:t>Licenciatura en Higiene y Epidemiología</w:t>
            </w:r>
          </w:p>
        </w:tc>
      </w:tr>
      <w:tr w:rsidR="004C7D2C" w:rsidTr="004C7D2C">
        <w:tc>
          <w:tcPr>
            <w:tcW w:w="5353" w:type="dxa"/>
          </w:tcPr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Optometría y Óptica.</w:t>
            </w:r>
          </w:p>
        </w:tc>
        <w:tc>
          <w:tcPr>
            <w:tcW w:w="3291" w:type="dxa"/>
          </w:tcPr>
          <w:p w:rsidR="004C7D2C" w:rsidRDefault="004C7D2C" w:rsidP="00717DB0">
            <w:pPr>
              <w:jc w:val="both"/>
            </w:pPr>
            <w:r>
              <w:t>Licenciatura en Optometría y Óptica</w:t>
            </w:r>
          </w:p>
        </w:tc>
      </w:tr>
      <w:tr w:rsidR="004C7D2C" w:rsidTr="004C7D2C">
        <w:tc>
          <w:tcPr>
            <w:tcW w:w="5353" w:type="dxa"/>
          </w:tcPr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Gestión de la Información en Salud.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Estadística en Salud.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Registros Médicos y Estadística de Salud.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Registros Médicos de Informática Médica.</w:t>
            </w:r>
          </w:p>
          <w:p w:rsidR="004C7D2C" w:rsidRDefault="004C7D2C" w:rsidP="008B7FE5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Información, Informática y Estadísticas en Salud.</w:t>
            </w:r>
          </w:p>
        </w:tc>
        <w:tc>
          <w:tcPr>
            <w:tcW w:w="3291" w:type="dxa"/>
          </w:tcPr>
          <w:p w:rsidR="004C7D2C" w:rsidRDefault="004C7D2C" w:rsidP="00717DB0">
            <w:pPr>
              <w:jc w:val="both"/>
            </w:pPr>
            <w:r>
              <w:t>Licenciatura en Sistema de Información en Salud</w:t>
            </w:r>
          </w:p>
        </w:tc>
      </w:tr>
    </w:tbl>
    <w:p w:rsidR="008B7FE5" w:rsidRDefault="008B7FE5" w:rsidP="00717DB0">
      <w:pPr>
        <w:jc w:val="both"/>
      </w:pPr>
    </w:p>
    <w:p w:rsidR="00310CA9" w:rsidRDefault="00310CA9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E32FD4" w:rsidRPr="00E22E66" w:rsidRDefault="00310CA9" w:rsidP="00E22E66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es-ES"/>
        </w:rPr>
      </w:pPr>
      <w:r w:rsidRPr="00E22E66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lastRenderedPageBreak/>
        <w:t xml:space="preserve">Anexo 2. Cronograma </w:t>
      </w:r>
      <w:r w:rsidR="00E32FD4" w:rsidRPr="00E22E66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>del proceso de ingreso al  CPE  2022 en Ciego de Ávila.</w:t>
      </w:r>
    </w:p>
    <w:tbl>
      <w:tblPr>
        <w:tblW w:w="85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378"/>
        <w:gridCol w:w="1398"/>
        <w:gridCol w:w="1631"/>
        <w:gridCol w:w="1729"/>
      </w:tblGrid>
      <w:tr w:rsidR="00310CA9" w:rsidRPr="00986AA7" w:rsidTr="00E22E66">
        <w:trPr>
          <w:trHeight w:val="80"/>
        </w:trPr>
        <w:tc>
          <w:tcPr>
            <w:tcW w:w="85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0CA9" w:rsidRPr="00E22E66" w:rsidRDefault="00310CA9" w:rsidP="00E22E6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310CA9" w:rsidRPr="00612FBE" w:rsidTr="00E22E66">
        <w:trPr>
          <w:trHeight w:val="299"/>
        </w:trPr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  <w:rPr>
                <w:b/>
              </w:rPr>
            </w:pPr>
            <w:r w:rsidRPr="00282CA4">
              <w:rPr>
                <w:b/>
              </w:rPr>
              <w:t xml:space="preserve">No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  <w:rPr>
                <w:b/>
              </w:rPr>
            </w:pPr>
            <w:r w:rsidRPr="00282CA4">
              <w:rPr>
                <w:b/>
              </w:rPr>
              <w:t xml:space="preserve">ACTIVIDAD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  <w:rPr>
                <w:b/>
              </w:rPr>
            </w:pPr>
            <w:r w:rsidRPr="00282CA4">
              <w:rPr>
                <w:b/>
              </w:rPr>
              <w:t xml:space="preserve">FECHA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  <w:rPr>
                <w:b/>
              </w:rPr>
            </w:pPr>
            <w:r w:rsidRPr="00282CA4">
              <w:rPr>
                <w:b/>
              </w:rPr>
              <w:t xml:space="preserve">LUGAR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  <w:rPr>
                <w:b/>
              </w:rPr>
            </w:pPr>
            <w:r w:rsidRPr="00282CA4">
              <w:rPr>
                <w:b/>
              </w:rPr>
              <w:t xml:space="preserve">Responsables </w:t>
            </w:r>
          </w:p>
        </w:tc>
      </w:tr>
      <w:tr w:rsidR="00310CA9" w:rsidRPr="00612FBE" w:rsidTr="00E22E66">
        <w:trPr>
          <w:trHeight w:val="970"/>
        </w:trPr>
        <w:tc>
          <w:tcPr>
            <w:tcW w:w="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 xml:space="preserve">Divulgación de las características del proceso de ingreso al CPE.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12  al 18 de octubre de 2021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Todas las unidades de la provincia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Rector</w:t>
            </w:r>
            <w:r w:rsidR="00282CA4">
              <w:t>a</w:t>
            </w:r>
            <w:r w:rsidRPr="00282CA4">
              <w:t xml:space="preserve"> y Director</w:t>
            </w:r>
            <w:r w:rsidR="00282CA4">
              <w:t>a</w:t>
            </w:r>
            <w:r w:rsidRPr="00282CA4">
              <w:t xml:space="preserve"> Provincial</w:t>
            </w:r>
          </w:p>
        </w:tc>
      </w:tr>
      <w:tr w:rsidR="00310CA9" w:rsidRPr="00612FBE" w:rsidTr="00E22E66">
        <w:trPr>
          <w:trHeight w:val="81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2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 xml:space="preserve">Publicación del plan de plazas y de los criterios de selección de cada carrera.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19  al 30 de octubre de 2021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Sede Central, Facultades y Filiales, unidades de salud de la provincia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282CA4" w:rsidP="00E22E66">
            <w:pPr>
              <w:spacing w:after="0" w:line="240" w:lineRule="auto"/>
            </w:pPr>
            <w:r>
              <w:t>Rectora</w:t>
            </w:r>
            <w:r w:rsidR="00310CA9" w:rsidRPr="00282CA4">
              <w:t>, Decanos y Directores municipales</w:t>
            </w:r>
          </w:p>
        </w:tc>
      </w:tr>
      <w:tr w:rsidR="00310CA9" w:rsidRPr="00612FBE" w:rsidTr="00E22E66">
        <w:trPr>
          <w:trHeight w:val="135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 xml:space="preserve">Recepción de las solicitudes de ingreso de los aspirantes.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 al 13 de noviembre de 2021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Sede Central UCM CAV y Facultad Ciencias Médicas de Morón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0CA9" w:rsidRPr="00282CA4" w:rsidRDefault="00282CA4" w:rsidP="00E22E66">
            <w:pPr>
              <w:spacing w:after="0" w:line="240" w:lineRule="auto"/>
            </w:pPr>
            <w:r>
              <w:t>Rectora</w:t>
            </w:r>
            <w:r w:rsidR="00310CA9" w:rsidRPr="00282CA4">
              <w:t>, Decanos y Directores municipales</w:t>
            </w:r>
          </w:p>
        </w:tc>
      </w:tr>
      <w:tr w:rsidR="00310CA9" w:rsidRPr="00612FBE" w:rsidTr="00E22E66">
        <w:trPr>
          <w:trHeight w:val="1087"/>
        </w:trPr>
        <w:tc>
          <w:tcPr>
            <w:tcW w:w="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 xml:space="preserve">Determinación de las carreras que requieren aplicar criterios de selección para el ordenamiento de la matrícula.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15 al 20  de noviembre de 2021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 xml:space="preserve">Sede Central UCM CAV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282CA4" w:rsidP="00E22E66">
            <w:pPr>
              <w:spacing w:after="0" w:line="240" w:lineRule="auto"/>
            </w:pPr>
            <w:r>
              <w:t>Rectora, Vicerrectora</w:t>
            </w:r>
            <w:r w:rsidR="00310CA9" w:rsidRPr="00282CA4">
              <w:t xml:space="preserve"> y Jefes de Dpto. de Ingreso</w:t>
            </w:r>
          </w:p>
        </w:tc>
      </w:tr>
      <w:tr w:rsidR="00310CA9" w:rsidRPr="00612FBE" w:rsidTr="00E22E66">
        <w:trPr>
          <w:trHeight w:val="81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5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Aplicación de los criterios de selección.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22 al 30 de noviembre de 2021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Sede Central UCM CAV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282CA4" w:rsidP="00E22E66">
            <w:pPr>
              <w:spacing w:after="0" w:line="240" w:lineRule="auto"/>
            </w:pPr>
            <w:r>
              <w:t>Rectora, Vicerrectora</w:t>
            </w:r>
            <w:r w:rsidR="00310CA9" w:rsidRPr="00282CA4">
              <w:t xml:space="preserve"> y Jefes de Dpto. de Ingreso</w:t>
            </w:r>
          </w:p>
        </w:tc>
      </w:tr>
      <w:tr w:rsidR="00310CA9" w:rsidRPr="00612FBE" w:rsidTr="00E22E66">
        <w:trPr>
          <w:trHeight w:val="81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6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Otorgamiento de carreras.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 al 11 de diciembre   de 2021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Sede Central</w:t>
            </w:r>
            <w:r w:rsidR="00282CA4" w:rsidRPr="00282CA4">
              <w:t xml:space="preserve"> UCM CAV</w:t>
            </w:r>
            <w:r w:rsidRPr="00282CA4">
              <w:t xml:space="preserve"> 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Rectores, Vicerrectores y Jefes de Dpto. de Ingreso</w:t>
            </w:r>
          </w:p>
        </w:tc>
      </w:tr>
      <w:tr w:rsidR="00310CA9" w:rsidRPr="00612FBE" w:rsidTr="00E22E66">
        <w:trPr>
          <w:trHeight w:val="81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7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Publicación de las carreras otorgadas.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13  al 18 de diciembre de 2021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Sede Central</w:t>
            </w:r>
            <w:r w:rsidR="00282CA4" w:rsidRPr="00282CA4">
              <w:t xml:space="preserve"> UCM CAV</w:t>
            </w:r>
            <w:r w:rsidRPr="00282CA4">
              <w:t xml:space="preserve"> 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282CA4" w:rsidP="00E22E66">
            <w:pPr>
              <w:spacing w:after="0" w:line="240" w:lineRule="auto"/>
            </w:pPr>
            <w:r>
              <w:t>Rectores, Vicerrectora</w:t>
            </w:r>
            <w:r w:rsidR="00310CA9" w:rsidRPr="00282CA4">
              <w:t xml:space="preserve"> y Jefes de Dpto. de Ingreso</w:t>
            </w:r>
          </w:p>
        </w:tc>
      </w:tr>
      <w:tr w:rsidR="00310CA9" w:rsidRPr="00612FBE" w:rsidTr="00E22E66">
        <w:trPr>
          <w:trHeight w:val="819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8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Atención a las reclamaciones.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20 al 27 de diciembre de 2021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Sede Central</w:t>
            </w:r>
            <w:r w:rsidR="00282CA4" w:rsidRPr="00282CA4">
              <w:t xml:space="preserve"> UCM CAV</w:t>
            </w:r>
            <w:r w:rsidRPr="00282CA4">
              <w:t xml:space="preserve"> 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282CA4" w:rsidP="00E22E66">
            <w:pPr>
              <w:spacing w:after="0" w:line="240" w:lineRule="auto"/>
            </w:pPr>
            <w:r>
              <w:t>Rectores, Vicerrectora</w:t>
            </w:r>
            <w:r w:rsidR="00310CA9" w:rsidRPr="00282CA4">
              <w:t xml:space="preserve"> y Jefes de Dpto. de Ingreso</w:t>
            </w:r>
          </w:p>
        </w:tc>
      </w:tr>
      <w:tr w:rsidR="00310CA9" w:rsidRPr="00612FBE" w:rsidTr="00E22E66">
        <w:trPr>
          <w:trHeight w:val="1624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9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Envío de los resultados del otorgamiento de carreras a la Comisión Provincial de Ingreso y Departamento de Ingreso del MINSAP según modelo elaborado al efecto.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30 de diciembre de 2021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 xml:space="preserve">Comisión </w:t>
            </w:r>
            <w:r w:rsidR="00282CA4">
              <w:t>d</w:t>
            </w:r>
            <w:r w:rsidRPr="00282CA4">
              <w:t>e Ingreso</w:t>
            </w:r>
            <w:r w:rsidR="00282CA4" w:rsidRPr="00282CA4">
              <w:t xml:space="preserve"> UCM CAV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0CA9" w:rsidRPr="00282CA4" w:rsidRDefault="00310CA9" w:rsidP="00E22E66">
            <w:pPr>
              <w:spacing w:after="0" w:line="240" w:lineRule="auto"/>
            </w:pPr>
            <w:r w:rsidRPr="00282CA4">
              <w:t>Rector</w:t>
            </w:r>
            <w:r w:rsidR="00282CA4">
              <w:t>a</w:t>
            </w:r>
          </w:p>
        </w:tc>
      </w:tr>
    </w:tbl>
    <w:p w:rsidR="00231B63" w:rsidRPr="00717DB0" w:rsidRDefault="00231B63" w:rsidP="00717DB0">
      <w:pPr>
        <w:ind w:firstLine="708"/>
      </w:pPr>
    </w:p>
    <w:p w:rsidR="00231B63" w:rsidRPr="00282CA4" w:rsidRDefault="00180E61" w:rsidP="005B544B">
      <w:pPr>
        <w:pStyle w:val="Prrafodelista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s-ES"/>
        </w:rPr>
      </w:pPr>
      <w:r w:rsidRPr="00282CA4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 xml:space="preserve">Anexo 3. </w:t>
      </w:r>
      <w:r w:rsidR="0026624B" w:rsidRPr="00282CA4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>Plan de plazas</w:t>
      </w:r>
      <w:r w:rsidRPr="00282CA4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 xml:space="preserve"> del Curso por Encuentros</w:t>
      </w:r>
      <w:r w:rsidR="0026624B" w:rsidRPr="00282CA4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>. Curso 2022</w:t>
      </w:r>
    </w:p>
    <w:tbl>
      <w:tblPr>
        <w:tblStyle w:val="Tablaconcuadrcula"/>
        <w:tblW w:w="8809" w:type="dxa"/>
        <w:tblLook w:val="04A0" w:firstRow="1" w:lastRow="0" w:firstColumn="1" w:lastColumn="0" w:noHBand="0" w:noVBand="1"/>
      </w:tblPr>
      <w:tblGrid>
        <w:gridCol w:w="4011"/>
        <w:gridCol w:w="1156"/>
        <w:gridCol w:w="3642"/>
      </w:tblGrid>
      <w:tr w:rsidR="00180E61" w:rsidTr="003915D1">
        <w:trPr>
          <w:trHeight w:val="258"/>
        </w:trPr>
        <w:tc>
          <w:tcPr>
            <w:tcW w:w="4011" w:type="dxa"/>
          </w:tcPr>
          <w:p w:rsidR="00180E61" w:rsidRPr="00282CA4" w:rsidRDefault="00180E61" w:rsidP="00180E61">
            <w:pPr>
              <w:pStyle w:val="Prrafodelista"/>
              <w:ind w:left="0"/>
              <w:jc w:val="both"/>
              <w:rPr>
                <w:b/>
              </w:rPr>
            </w:pPr>
            <w:bookmarkStart w:id="0" w:name="_GoBack"/>
            <w:bookmarkEnd w:id="0"/>
            <w:r w:rsidRPr="00282CA4">
              <w:rPr>
                <w:b/>
              </w:rPr>
              <w:t>Carreras</w:t>
            </w:r>
          </w:p>
        </w:tc>
        <w:tc>
          <w:tcPr>
            <w:tcW w:w="1156" w:type="dxa"/>
          </w:tcPr>
          <w:p w:rsidR="00180E61" w:rsidRPr="00282CA4" w:rsidRDefault="00180E61" w:rsidP="00180E61">
            <w:pPr>
              <w:pStyle w:val="Prrafodelista"/>
              <w:ind w:left="0"/>
              <w:jc w:val="both"/>
              <w:rPr>
                <w:b/>
              </w:rPr>
            </w:pPr>
            <w:r w:rsidRPr="00282CA4">
              <w:rPr>
                <w:b/>
              </w:rPr>
              <w:t>Plazas</w:t>
            </w:r>
          </w:p>
        </w:tc>
        <w:tc>
          <w:tcPr>
            <w:tcW w:w="3642" w:type="dxa"/>
          </w:tcPr>
          <w:p w:rsidR="00180E61" w:rsidRPr="00282CA4" w:rsidRDefault="00180E61" w:rsidP="00180E61">
            <w:pPr>
              <w:pStyle w:val="Prrafodelista"/>
              <w:ind w:left="0"/>
              <w:jc w:val="both"/>
              <w:rPr>
                <w:b/>
              </w:rPr>
            </w:pPr>
            <w:r w:rsidRPr="00282CA4">
              <w:rPr>
                <w:b/>
              </w:rPr>
              <w:t>Técnico de procedencia</w:t>
            </w:r>
          </w:p>
        </w:tc>
      </w:tr>
      <w:tr w:rsidR="00180E61" w:rsidTr="003915D1">
        <w:trPr>
          <w:trHeight w:val="273"/>
        </w:trPr>
        <w:tc>
          <w:tcPr>
            <w:tcW w:w="4011" w:type="dxa"/>
          </w:tcPr>
          <w:p w:rsidR="00180E61" w:rsidRDefault="00180E61" w:rsidP="00282CA4">
            <w:pPr>
              <w:jc w:val="both"/>
            </w:pPr>
            <w:r>
              <w:t>Licenciatura en Enfermería</w:t>
            </w:r>
          </w:p>
        </w:tc>
        <w:tc>
          <w:tcPr>
            <w:tcW w:w="1156" w:type="dxa"/>
          </w:tcPr>
          <w:p w:rsidR="00180E61" w:rsidRDefault="00180E61" w:rsidP="00282CA4">
            <w:pPr>
              <w:jc w:val="center"/>
            </w:pPr>
            <w:r>
              <w:t>60</w:t>
            </w:r>
          </w:p>
        </w:tc>
        <w:tc>
          <w:tcPr>
            <w:tcW w:w="3642" w:type="dxa"/>
          </w:tcPr>
          <w:p w:rsidR="00180E61" w:rsidRDefault="00180E61" w:rsidP="00282CA4">
            <w:pPr>
              <w:jc w:val="both"/>
            </w:pPr>
            <w:r>
              <w:t>Técnicos en Enfermería</w:t>
            </w:r>
          </w:p>
        </w:tc>
      </w:tr>
      <w:tr w:rsidR="00180E61" w:rsidTr="003915D1">
        <w:trPr>
          <w:trHeight w:val="819"/>
        </w:trPr>
        <w:tc>
          <w:tcPr>
            <w:tcW w:w="4011" w:type="dxa"/>
          </w:tcPr>
          <w:p w:rsidR="00180E61" w:rsidRDefault="00180E61" w:rsidP="00282CA4">
            <w:pPr>
              <w:jc w:val="both"/>
            </w:pPr>
            <w:r>
              <w:t>Licenciatura en Higiene y Epidemiología</w:t>
            </w:r>
          </w:p>
        </w:tc>
        <w:tc>
          <w:tcPr>
            <w:tcW w:w="1156" w:type="dxa"/>
          </w:tcPr>
          <w:p w:rsidR="00180E61" w:rsidRDefault="00180E61" w:rsidP="00282CA4">
            <w:pPr>
              <w:jc w:val="center"/>
            </w:pPr>
            <w:r>
              <w:t>15</w:t>
            </w:r>
          </w:p>
        </w:tc>
        <w:tc>
          <w:tcPr>
            <w:tcW w:w="3642" w:type="dxa"/>
          </w:tcPr>
          <w:p w:rsidR="00180E61" w:rsidRDefault="00180E61" w:rsidP="00282CA4">
            <w:pPr>
              <w:jc w:val="both"/>
            </w:pPr>
            <w:r>
              <w:t>Técnicos en Higiene y Epidemiología</w:t>
            </w:r>
          </w:p>
          <w:p w:rsidR="00180E61" w:rsidRDefault="00180E61" w:rsidP="00282CA4">
            <w:pPr>
              <w:jc w:val="both"/>
            </w:pPr>
            <w:r>
              <w:t xml:space="preserve">Técnicos en Vigilancia y Lucha </w:t>
            </w:r>
            <w:proofErr w:type="spellStart"/>
            <w:r>
              <w:t>Antivectorial</w:t>
            </w:r>
            <w:proofErr w:type="spellEnd"/>
          </w:p>
        </w:tc>
      </w:tr>
    </w:tbl>
    <w:p w:rsidR="00987FBD" w:rsidRPr="00ED1725" w:rsidRDefault="00987FBD" w:rsidP="00180E61">
      <w:pPr>
        <w:pStyle w:val="Prrafodelista"/>
        <w:ind w:left="0"/>
        <w:jc w:val="both"/>
      </w:pPr>
    </w:p>
    <w:sectPr w:rsidR="00987FBD" w:rsidRPr="00ED1725" w:rsidSect="00096F80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C6" w:rsidRDefault="00D91EC6" w:rsidP="005B544B">
      <w:pPr>
        <w:spacing w:after="0" w:line="240" w:lineRule="auto"/>
      </w:pPr>
      <w:r>
        <w:separator/>
      </w:r>
    </w:p>
  </w:endnote>
  <w:endnote w:type="continuationSeparator" w:id="0">
    <w:p w:rsidR="00D91EC6" w:rsidRDefault="00D91EC6" w:rsidP="005B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C6" w:rsidRDefault="00D91EC6" w:rsidP="005B544B">
      <w:pPr>
        <w:spacing w:after="0" w:line="240" w:lineRule="auto"/>
      </w:pPr>
      <w:r>
        <w:separator/>
      </w:r>
    </w:p>
  </w:footnote>
  <w:footnote w:type="continuationSeparator" w:id="0">
    <w:p w:rsidR="00D91EC6" w:rsidRDefault="00D91EC6" w:rsidP="005B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889"/>
    <w:multiLevelType w:val="hybridMultilevel"/>
    <w:tmpl w:val="BBB6A7B6"/>
    <w:lvl w:ilvl="0" w:tplc="C8F4EF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A53"/>
    <w:multiLevelType w:val="hybridMultilevel"/>
    <w:tmpl w:val="62385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40F1"/>
    <w:multiLevelType w:val="hybridMultilevel"/>
    <w:tmpl w:val="FABA6268"/>
    <w:lvl w:ilvl="0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7D71A2E"/>
    <w:multiLevelType w:val="hybridMultilevel"/>
    <w:tmpl w:val="37D68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D68F1"/>
    <w:multiLevelType w:val="hybridMultilevel"/>
    <w:tmpl w:val="4F748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D5260"/>
    <w:multiLevelType w:val="hybridMultilevel"/>
    <w:tmpl w:val="08CAA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B77EF"/>
    <w:multiLevelType w:val="hybridMultilevel"/>
    <w:tmpl w:val="CB946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BB"/>
    <w:rsid w:val="00096F80"/>
    <w:rsid w:val="001560BB"/>
    <w:rsid w:val="00180E61"/>
    <w:rsid w:val="00231B63"/>
    <w:rsid w:val="0026624B"/>
    <w:rsid w:val="00282CA4"/>
    <w:rsid w:val="00310CA9"/>
    <w:rsid w:val="0038302B"/>
    <w:rsid w:val="003915D1"/>
    <w:rsid w:val="00436190"/>
    <w:rsid w:val="004C7D2C"/>
    <w:rsid w:val="005147F8"/>
    <w:rsid w:val="0052367A"/>
    <w:rsid w:val="005B544B"/>
    <w:rsid w:val="006A5E7C"/>
    <w:rsid w:val="00717DB0"/>
    <w:rsid w:val="008A134D"/>
    <w:rsid w:val="008B7FE5"/>
    <w:rsid w:val="00987FBD"/>
    <w:rsid w:val="00AB1E74"/>
    <w:rsid w:val="00B826C6"/>
    <w:rsid w:val="00C10B5C"/>
    <w:rsid w:val="00D91EC6"/>
    <w:rsid w:val="00E22E66"/>
    <w:rsid w:val="00E32FD4"/>
    <w:rsid w:val="00E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7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44B"/>
  </w:style>
  <w:style w:type="paragraph" w:styleId="Piedepgina">
    <w:name w:val="footer"/>
    <w:basedOn w:val="Normal"/>
    <w:link w:val="Piedepgina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44B"/>
  </w:style>
  <w:style w:type="paragraph" w:styleId="Textodeglobo">
    <w:name w:val="Balloon Text"/>
    <w:basedOn w:val="Normal"/>
    <w:link w:val="TextodegloboCar"/>
    <w:uiPriority w:val="99"/>
    <w:semiHidden/>
    <w:unhideWhenUsed/>
    <w:rsid w:val="005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7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44B"/>
  </w:style>
  <w:style w:type="paragraph" w:styleId="Piedepgina">
    <w:name w:val="footer"/>
    <w:basedOn w:val="Normal"/>
    <w:link w:val="PiedepginaCar"/>
    <w:uiPriority w:val="99"/>
    <w:unhideWhenUsed/>
    <w:rsid w:val="005B5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44B"/>
  </w:style>
  <w:style w:type="paragraph" w:styleId="Textodeglobo">
    <w:name w:val="Balloon Text"/>
    <w:basedOn w:val="Normal"/>
    <w:link w:val="TextodegloboCar"/>
    <w:uiPriority w:val="99"/>
    <w:semiHidden/>
    <w:unhideWhenUsed/>
    <w:rsid w:val="005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4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ingreso</dc:creator>
  <cp:keywords/>
  <dc:description/>
  <cp:lastModifiedBy>ingreso</cp:lastModifiedBy>
  <cp:revision>17</cp:revision>
  <dcterms:created xsi:type="dcterms:W3CDTF">2021-09-22T09:14:00Z</dcterms:created>
  <dcterms:modified xsi:type="dcterms:W3CDTF">2021-10-18T06:33:00Z</dcterms:modified>
</cp:coreProperties>
</file>